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25D9" w14:textId="77777777" w:rsidR="000404CD" w:rsidRDefault="000404CD" w:rsidP="008C2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spacing w:val="-2"/>
        </w:rPr>
      </w:pPr>
    </w:p>
    <w:p w14:paraId="52C7D2F8" w14:textId="77777777" w:rsidR="00244B1D" w:rsidRDefault="003B1CC8" w:rsidP="008C2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Maven Income and Growth VCT 3</w:t>
      </w:r>
      <w:r w:rsidR="00525C23" w:rsidRPr="00525C23">
        <w:rPr>
          <w:rFonts w:ascii="Arial" w:hAnsi="Arial" w:cs="Arial"/>
          <w:b/>
          <w:spacing w:val="-2"/>
        </w:rPr>
        <w:t xml:space="preserve"> PLC</w:t>
      </w:r>
      <w:r w:rsidR="006963F9" w:rsidRPr="00525C23">
        <w:rPr>
          <w:rFonts w:ascii="Arial" w:hAnsi="Arial" w:cs="Arial"/>
          <w:b/>
          <w:spacing w:val="-2"/>
        </w:rPr>
        <w:t xml:space="preserve"> (the Company)</w:t>
      </w:r>
    </w:p>
    <w:p w14:paraId="56F54577" w14:textId="77777777" w:rsidR="0023075F" w:rsidRPr="00525C23" w:rsidRDefault="00EE4069" w:rsidP="008C2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/>
          <w:spacing w:val="-2"/>
        </w:rPr>
      </w:pPr>
      <w:r w:rsidRPr="00525C23">
        <w:rPr>
          <w:rFonts w:ascii="Arial" w:hAnsi="Arial" w:cs="Arial"/>
          <w:b/>
          <w:spacing w:val="-2"/>
        </w:rPr>
        <w:t>Result of Annual General Meeting</w:t>
      </w:r>
    </w:p>
    <w:p w14:paraId="1A76CA1D" w14:textId="77777777" w:rsidR="0007608C" w:rsidRDefault="0007608C" w:rsidP="008C2A35">
      <w:pPr>
        <w:ind w:right="-716"/>
        <w:rPr>
          <w:rFonts w:ascii="Arial" w:hAnsi="Arial" w:cs="Arial"/>
        </w:rPr>
      </w:pPr>
    </w:p>
    <w:p w14:paraId="5A3472E1" w14:textId="7A1DE3FA" w:rsidR="00440F3D" w:rsidRDefault="00440F3D" w:rsidP="008C2A35">
      <w:pPr>
        <w:pStyle w:val="Title"/>
        <w:jc w:val="left"/>
        <w:rPr>
          <w:rFonts w:cs="Arial"/>
          <w:b w:val="0"/>
          <w:spacing w:val="-2"/>
          <w:sz w:val="20"/>
        </w:rPr>
      </w:pPr>
      <w:r w:rsidRPr="009C34AC">
        <w:rPr>
          <w:rFonts w:cs="Arial"/>
          <w:b w:val="0"/>
          <w:spacing w:val="-2"/>
          <w:sz w:val="20"/>
        </w:rPr>
        <w:t>At the Annual General</w:t>
      </w:r>
      <w:r>
        <w:rPr>
          <w:rFonts w:cs="Arial"/>
          <w:b w:val="0"/>
          <w:spacing w:val="-2"/>
          <w:sz w:val="20"/>
        </w:rPr>
        <w:t xml:space="preserve"> Meeting of the Company held</w:t>
      </w:r>
      <w:r w:rsidR="0026137F">
        <w:rPr>
          <w:rFonts w:cs="Arial"/>
          <w:b w:val="0"/>
          <w:spacing w:val="-2"/>
          <w:sz w:val="20"/>
        </w:rPr>
        <w:t xml:space="preserve"> at</w:t>
      </w:r>
      <w:r>
        <w:rPr>
          <w:rFonts w:cs="Arial"/>
          <w:b w:val="0"/>
          <w:spacing w:val="-2"/>
          <w:sz w:val="20"/>
        </w:rPr>
        <w:t xml:space="preserve"> </w:t>
      </w:r>
      <w:r w:rsidR="006D17D0" w:rsidRPr="006D17D0">
        <w:rPr>
          <w:rFonts w:cs="Arial"/>
          <w:b w:val="0"/>
          <w:spacing w:val="-2"/>
          <w:sz w:val="20"/>
        </w:rPr>
        <w:t>1-2 Royal Exchange Buildings, London EC3V 3LF</w:t>
      </w:r>
      <w:r w:rsidR="006D17D0">
        <w:rPr>
          <w:rFonts w:cs="Arial"/>
          <w:b w:val="0"/>
          <w:spacing w:val="-2"/>
          <w:sz w:val="20"/>
        </w:rPr>
        <w:t xml:space="preserve"> </w:t>
      </w:r>
      <w:r w:rsidRPr="009C34AC">
        <w:rPr>
          <w:rFonts w:cs="Arial"/>
          <w:b w:val="0"/>
          <w:spacing w:val="-2"/>
          <w:sz w:val="20"/>
        </w:rPr>
        <w:t xml:space="preserve">on </w:t>
      </w:r>
      <w:r w:rsidR="00760BC0">
        <w:rPr>
          <w:rFonts w:cs="Arial"/>
          <w:b w:val="0"/>
          <w:spacing w:val="-2"/>
          <w:sz w:val="20"/>
        </w:rPr>
        <w:t xml:space="preserve">Wednesday </w:t>
      </w:r>
      <w:r w:rsidR="006D17D0">
        <w:rPr>
          <w:rFonts w:cs="Arial"/>
          <w:b w:val="0"/>
          <w:spacing w:val="-2"/>
          <w:sz w:val="20"/>
        </w:rPr>
        <w:t>6</w:t>
      </w:r>
      <w:r w:rsidR="00F84A94">
        <w:rPr>
          <w:rFonts w:cs="Arial"/>
          <w:b w:val="0"/>
          <w:spacing w:val="-2"/>
          <w:sz w:val="20"/>
        </w:rPr>
        <w:t xml:space="preserve"> April 20</w:t>
      </w:r>
      <w:r w:rsidR="00EC7734">
        <w:rPr>
          <w:rFonts w:cs="Arial"/>
          <w:b w:val="0"/>
          <w:spacing w:val="-2"/>
          <w:sz w:val="20"/>
        </w:rPr>
        <w:t>2</w:t>
      </w:r>
      <w:r w:rsidR="006D17D0">
        <w:rPr>
          <w:rFonts w:cs="Arial"/>
          <w:b w:val="0"/>
          <w:spacing w:val="-2"/>
          <w:sz w:val="20"/>
        </w:rPr>
        <w:t>2</w:t>
      </w:r>
      <w:r>
        <w:rPr>
          <w:rFonts w:cs="Arial"/>
          <w:b w:val="0"/>
          <w:spacing w:val="-2"/>
          <w:sz w:val="20"/>
        </w:rPr>
        <w:t xml:space="preserve"> </w:t>
      </w:r>
      <w:r w:rsidRPr="009C34AC">
        <w:rPr>
          <w:rFonts w:cs="Arial"/>
          <w:b w:val="0"/>
          <w:spacing w:val="-2"/>
          <w:sz w:val="20"/>
        </w:rPr>
        <w:t xml:space="preserve">at </w:t>
      </w:r>
      <w:r w:rsidR="00EC7734">
        <w:rPr>
          <w:rFonts w:cs="Arial"/>
          <w:b w:val="0"/>
          <w:spacing w:val="-2"/>
          <w:sz w:val="20"/>
        </w:rPr>
        <w:t>12</w:t>
      </w:r>
      <w:r>
        <w:rPr>
          <w:rFonts w:cs="Arial"/>
          <w:b w:val="0"/>
          <w:spacing w:val="-2"/>
          <w:sz w:val="20"/>
        </w:rPr>
        <w:t>.</w:t>
      </w:r>
      <w:r w:rsidR="006D17D0">
        <w:rPr>
          <w:rFonts w:cs="Arial"/>
          <w:b w:val="0"/>
          <w:spacing w:val="-2"/>
          <w:sz w:val="20"/>
        </w:rPr>
        <w:t>30 pm</w:t>
      </w:r>
      <w:r w:rsidRPr="009C34AC">
        <w:rPr>
          <w:rFonts w:cs="Arial"/>
          <w:b w:val="0"/>
          <w:spacing w:val="-2"/>
          <w:sz w:val="20"/>
        </w:rPr>
        <w:t xml:space="preserve">, </w:t>
      </w:r>
      <w:proofErr w:type="gramStart"/>
      <w:r w:rsidRPr="009C34AC">
        <w:rPr>
          <w:rFonts w:cs="Arial"/>
          <w:b w:val="0"/>
          <w:spacing w:val="-2"/>
          <w:sz w:val="20"/>
        </w:rPr>
        <w:t>all of</w:t>
      </w:r>
      <w:proofErr w:type="gramEnd"/>
      <w:r w:rsidRPr="009C34AC">
        <w:rPr>
          <w:rFonts w:cs="Arial"/>
          <w:b w:val="0"/>
          <w:spacing w:val="-2"/>
          <w:sz w:val="20"/>
        </w:rPr>
        <w:t xml:space="preserve"> the Resolutions put to the Meeting were passed. </w:t>
      </w:r>
    </w:p>
    <w:p w14:paraId="2928125B" w14:textId="77777777" w:rsidR="00440F3D" w:rsidRDefault="00440F3D" w:rsidP="008C2A35">
      <w:pPr>
        <w:pStyle w:val="Title"/>
        <w:jc w:val="left"/>
        <w:rPr>
          <w:rFonts w:cs="Arial"/>
          <w:b w:val="0"/>
          <w:spacing w:val="-2"/>
          <w:sz w:val="20"/>
        </w:rPr>
      </w:pPr>
    </w:p>
    <w:p w14:paraId="01550720" w14:textId="7D8BD147" w:rsidR="00EE4069" w:rsidRPr="00440F3D" w:rsidRDefault="00B93A9B" w:rsidP="008C2A35">
      <w:pPr>
        <w:pStyle w:val="Title"/>
        <w:jc w:val="left"/>
        <w:rPr>
          <w:rFonts w:cs="Arial"/>
          <w:b w:val="0"/>
          <w:spacing w:val="-2"/>
          <w:sz w:val="20"/>
        </w:rPr>
      </w:pPr>
      <w:r w:rsidRPr="00440F3D">
        <w:rPr>
          <w:rFonts w:cs="Arial"/>
          <w:b w:val="0"/>
          <w:spacing w:val="-2"/>
          <w:sz w:val="20"/>
        </w:rPr>
        <w:t xml:space="preserve">At the record date for the Annual General Meeting, </w:t>
      </w:r>
      <w:r w:rsidRPr="00AD2E10">
        <w:rPr>
          <w:rFonts w:cs="Arial"/>
          <w:b w:val="0"/>
          <w:spacing w:val="-2"/>
          <w:sz w:val="20"/>
        </w:rPr>
        <w:t xml:space="preserve">being </w:t>
      </w:r>
      <w:r w:rsidR="00F374A5" w:rsidRPr="00AD2E10">
        <w:rPr>
          <w:rFonts w:cs="Arial"/>
          <w:b w:val="0"/>
          <w:spacing w:val="-2"/>
          <w:sz w:val="20"/>
        </w:rPr>
        <w:t>4</w:t>
      </w:r>
      <w:r w:rsidR="00F84A94" w:rsidRPr="00AD2E10">
        <w:rPr>
          <w:rFonts w:cs="Arial"/>
          <w:b w:val="0"/>
          <w:spacing w:val="-2"/>
          <w:sz w:val="20"/>
        </w:rPr>
        <w:t xml:space="preserve"> </w:t>
      </w:r>
      <w:r w:rsidR="00F84A94">
        <w:rPr>
          <w:rFonts w:cs="Arial"/>
          <w:b w:val="0"/>
          <w:spacing w:val="-2"/>
          <w:sz w:val="20"/>
        </w:rPr>
        <w:t>April 20</w:t>
      </w:r>
      <w:r w:rsidR="00EC7734">
        <w:rPr>
          <w:rFonts w:cs="Arial"/>
          <w:b w:val="0"/>
          <w:spacing w:val="-2"/>
          <w:sz w:val="20"/>
        </w:rPr>
        <w:t>2</w:t>
      </w:r>
      <w:r w:rsidR="004A2641">
        <w:rPr>
          <w:rFonts w:cs="Arial"/>
          <w:b w:val="0"/>
          <w:spacing w:val="-2"/>
          <w:sz w:val="20"/>
        </w:rPr>
        <w:t>2</w:t>
      </w:r>
      <w:r w:rsidR="00D60098">
        <w:rPr>
          <w:rFonts w:cs="Arial"/>
          <w:b w:val="0"/>
          <w:spacing w:val="-2"/>
          <w:sz w:val="20"/>
        </w:rPr>
        <w:t>,</w:t>
      </w:r>
      <w:r w:rsidRPr="00440F3D">
        <w:rPr>
          <w:rFonts w:cs="Arial"/>
          <w:b w:val="0"/>
          <w:spacing w:val="-2"/>
          <w:sz w:val="20"/>
        </w:rPr>
        <w:t xml:space="preserve"> the total number of voting rights in the Company stood at and the total shares in issue </w:t>
      </w:r>
      <w:r w:rsidRPr="00AD2E10">
        <w:rPr>
          <w:rFonts w:cs="Arial"/>
          <w:b w:val="0"/>
          <w:spacing w:val="-2"/>
          <w:sz w:val="20"/>
        </w:rPr>
        <w:t xml:space="preserve">were </w:t>
      </w:r>
      <w:r w:rsidR="00437D29" w:rsidRPr="00AD2E10">
        <w:rPr>
          <w:rFonts w:cs="Arial"/>
          <w:b w:val="0"/>
          <w:spacing w:val="-2"/>
          <w:sz w:val="20"/>
        </w:rPr>
        <w:t>96,818,862.</w:t>
      </w:r>
      <w:r w:rsidR="007F5E0B" w:rsidRPr="00AD2E10">
        <w:rPr>
          <w:rFonts w:cs="Arial"/>
          <w:b w:val="0"/>
          <w:spacing w:val="-2"/>
          <w:sz w:val="20"/>
        </w:rPr>
        <w:t xml:space="preserve"> </w:t>
      </w:r>
      <w:r w:rsidR="00A70A78" w:rsidRPr="00AD2E10">
        <w:rPr>
          <w:rFonts w:cs="Arial"/>
          <w:b w:val="0"/>
          <w:spacing w:val="-2"/>
          <w:sz w:val="20"/>
        </w:rPr>
        <w:t>T</w:t>
      </w:r>
      <w:r w:rsidRPr="00AD2E10">
        <w:rPr>
          <w:rFonts w:cs="Arial"/>
          <w:b w:val="0"/>
          <w:spacing w:val="-2"/>
          <w:sz w:val="20"/>
        </w:rPr>
        <w:t xml:space="preserve">he </w:t>
      </w:r>
      <w:r w:rsidRPr="00440F3D">
        <w:rPr>
          <w:rFonts w:cs="Arial"/>
          <w:b w:val="0"/>
          <w:spacing w:val="-2"/>
          <w:sz w:val="20"/>
        </w:rPr>
        <w:t xml:space="preserve">Company advises that for the Annual General Meeting, valid proxy appointments were made in respect of </w:t>
      </w:r>
      <w:r w:rsidR="00AD2E10" w:rsidRPr="00AD2E10">
        <w:rPr>
          <w:rFonts w:cs="Arial"/>
          <w:b w:val="0"/>
          <w:spacing w:val="-2"/>
          <w:sz w:val="20"/>
        </w:rPr>
        <w:t>5,863,341</w:t>
      </w:r>
      <w:r w:rsidR="00D6265F" w:rsidRPr="00AD2E10">
        <w:rPr>
          <w:rFonts w:cs="Arial"/>
          <w:b w:val="0"/>
          <w:spacing w:val="-2"/>
          <w:sz w:val="20"/>
        </w:rPr>
        <w:t xml:space="preserve"> </w:t>
      </w:r>
      <w:r w:rsidRPr="00440F3D">
        <w:rPr>
          <w:rFonts w:cs="Arial"/>
          <w:b w:val="0"/>
          <w:spacing w:val="-2"/>
          <w:sz w:val="20"/>
        </w:rPr>
        <w:t xml:space="preserve">shares and that the </w:t>
      </w:r>
      <w:r w:rsidR="00EE4069" w:rsidRPr="00440F3D">
        <w:rPr>
          <w:rFonts w:cs="Arial"/>
          <w:b w:val="0"/>
          <w:spacing w:val="-2"/>
          <w:sz w:val="20"/>
        </w:rPr>
        <w:t xml:space="preserve">number of proxy votes lodged </w:t>
      </w:r>
      <w:r w:rsidR="00D73F53" w:rsidRPr="00440F3D">
        <w:rPr>
          <w:rFonts w:cs="Arial"/>
          <w:b w:val="0"/>
          <w:spacing w:val="-2"/>
          <w:sz w:val="20"/>
        </w:rPr>
        <w:t xml:space="preserve">for each Resolution </w:t>
      </w:r>
      <w:r w:rsidR="00EE4069" w:rsidRPr="00440F3D">
        <w:rPr>
          <w:rFonts w:cs="Arial"/>
          <w:b w:val="0"/>
          <w:spacing w:val="-2"/>
          <w:sz w:val="20"/>
        </w:rPr>
        <w:t>w</w:t>
      </w:r>
      <w:r w:rsidR="00D73F53" w:rsidRPr="00440F3D">
        <w:rPr>
          <w:rFonts w:cs="Arial"/>
          <w:b w:val="0"/>
          <w:spacing w:val="-2"/>
          <w:sz w:val="20"/>
        </w:rPr>
        <w:t>ere</w:t>
      </w:r>
      <w:r w:rsidR="00EE4069" w:rsidRPr="00440F3D">
        <w:rPr>
          <w:rFonts w:cs="Arial"/>
          <w:b w:val="0"/>
          <w:spacing w:val="-2"/>
          <w:sz w:val="20"/>
        </w:rPr>
        <w:t xml:space="preserve"> as follows:</w:t>
      </w:r>
    </w:p>
    <w:p w14:paraId="35FF16D7" w14:textId="77777777" w:rsidR="00EE4069" w:rsidRPr="00A74717" w:rsidRDefault="00EE4069" w:rsidP="00EE4069">
      <w:pPr>
        <w:pStyle w:val="Noparagraphstyle"/>
        <w:suppressAutoHyphens/>
        <w:rPr>
          <w:rFonts w:ascii="Arial" w:hAnsi="Arial" w:cs="Arial"/>
          <w:sz w:val="20"/>
        </w:rPr>
      </w:pPr>
    </w:p>
    <w:tbl>
      <w:tblPr>
        <w:tblStyle w:val="TableGrid"/>
        <w:tblW w:w="10581" w:type="dxa"/>
        <w:jc w:val="right"/>
        <w:tblLayout w:type="fixed"/>
        <w:tblLook w:val="01E0" w:firstRow="1" w:lastRow="1" w:firstColumn="1" w:lastColumn="1" w:noHBand="0" w:noVBand="0"/>
      </w:tblPr>
      <w:tblGrid>
        <w:gridCol w:w="567"/>
        <w:gridCol w:w="3970"/>
        <w:gridCol w:w="1217"/>
        <w:gridCol w:w="1283"/>
        <w:gridCol w:w="1135"/>
        <w:gridCol w:w="1134"/>
        <w:gridCol w:w="1275"/>
      </w:tblGrid>
      <w:tr w:rsidR="00EE4069" w:rsidRPr="00A74717" w14:paraId="7A178009" w14:textId="77777777" w:rsidTr="00682001">
        <w:trPr>
          <w:jc w:val="right"/>
        </w:trPr>
        <w:tc>
          <w:tcPr>
            <w:tcW w:w="567" w:type="dxa"/>
            <w:shd w:val="clear" w:color="auto" w:fill="CCFFFF"/>
          </w:tcPr>
          <w:p w14:paraId="161C0323" w14:textId="77777777" w:rsidR="00EE4069" w:rsidRPr="00525C23" w:rsidRDefault="00EE4069" w:rsidP="00EE4069">
            <w:pPr>
              <w:pStyle w:val="Noparagraphstyle"/>
              <w:suppressAutoHyphens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CCFFFF"/>
          </w:tcPr>
          <w:p w14:paraId="4BB10A2A" w14:textId="77777777" w:rsidR="00EE4069" w:rsidRPr="00525C23" w:rsidRDefault="00EE4069" w:rsidP="00EE4069">
            <w:pPr>
              <w:pStyle w:val="Noparagraphstyle"/>
              <w:suppressAutoHyphens/>
              <w:rPr>
                <w:rFonts w:ascii="Arial" w:hAnsi="Arial" w:cs="Arial"/>
                <w:b/>
                <w:sz w:val="20"/>
              </w:rPr>
            </w:pPr>
            <w:r w:rsidRPr="00525C23">
              <w:rPr>
                <w:rFonts w:ascii="Arial" w:hAnsi="Arial" w:cs="Arial"/>
                <w:b/>
                <w:sz w:val="20"/>
              </w:rPr>
              <w:t>Resolutions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CCFFFF"/>
          </w:tcPr>
          <w:p w14:paraId="61DFCCCA" w14:textId="77777777" w:rsidR="00EE4069" w:rsidRPr="00525C23" w:rsidRDefault="00EE4069" w:rsidP="008C2A35">
            <w:pPr>
              <w:pStyle w:val="Noparagraphstyle"/>
              <w:suppressAutoHyphens/>
              <w:jc w:val="right"/>
              <w:rPr>
                <w:rFonts w:ascii="Arial" w:hAnsi="Arial" w:cs="Arial"/>
                <w:b/>
                <w:sz w:val="20"/>
              </w:rPr>
            </w:pPr>
            <w:r w:rsidRPr="00525C23">
              <w:rPr>
                <w:rFonts w:ascii="Arial" w:hAnsi="Arial" w:cs="Arial"/>
                <w:b/>
                <w:sz w:val="20"/>
              </w:rPr>
              <w:t>For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CCFFFF"/>
          </w:tcPr>
          <w:p w14:paraId="61C051EC" w14:textId="77777777" w:rsidR="00EE4069" w:rsidRPr="00525C23" w:rsidRDefault="00EE4069" w:rsidP="008C2A35">
            <w:pPr>
              <w:pStyle w:val="Noparagraphstyle"/>
              <w:suppressAutoHyphens/>
              <w:jc w:val="right"/>
              <w:rPr>
                <w:rFonts w:ascii="Arial" w:hAnsi="Arial" w:cs="Arial"/>
                <w:b/>
                <w:sz w:val="20"/>
              </w:rPr>
            </w:pPr>
            <w:r w:rsidRPr="00525C23">
              <w:rPr>
                <w:rFonts w:ascii="Arial" w:hAnsi="Arial" w:cs="Arial"/>
                <w:b/>
                <w:sz w:val="20"/>
              </w:rPr>
              <w:t>Discretion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CCFFFF"/>
          </w:tcPr>
          <w:p w14:paraId="2A13C432" w14:textId="77777777" w:rsidR="00EE4069" w:rsidRPr="00525C23" w:rsidRDefault="00EE4069" w:rsidP="008C2A35">
            <w:pPr>
              <w:pStyle w:val="Noparagraphstyle"/>
              <w:suppressAutoHyphens/>
              <w:jc w:val="right"/>
              <w:rPr>
                <w:rFonts w:ascii="Arial" w:hAnsi="Arial" w:cs="Arial"/>
                <w:b/>
                <w:sz w:val="20"/>
              </w:rPr>
            </w:pPr>
            <w:r w:rsidRPr="00525C23">
              <w:rPr>
                <w:rFonts w:ascii="Arial" w:hAnsi="Arial" w:cs="Arial"/>
                <w:b/>
                <w:sz w:val="20"/>
              </w:rPr>
              <w:t>Against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FFFF"/>
          </w:tcPr>
          <w:p w14:paraId="535A767F" w14:textId="77777777" w:rsidR="00EE4069" w:rsidRPr="00525C23" w:rsidRDefault="00EE4069" w:rsidP="008C2A35">
            <w:pPr>
              <w:pStyle w:val="Noparagraphstyle"/>
              <w:suppressAutoHyphens/>
              <w:jc w:val="right"/>
              <w:rPr>
                <w:rFonts w:ascii="Arial" w:hAnsi="Arial" w:cs="Arial"/>
                <w:b/>
                <w:sz w:val="20"/>
              </w:rPr>
            </w:pPr>
            <w:r w:rsidRPr="00525C23">
              <w:rPr>
                <w:rFonts w:ascii="Arial" w:hAnsi="Arial" w:cs="Arial"/>
                <w:b/>
                <w:sz w:val="20"/>
              </w:rPr>
              <w:t>Withheld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FF"/>
          </w:tcPr>
          <w:p w14:paraId="5080D927" w14:textId="77777777" w:rsidR="00EE4069" w:rsidRPr="00525C23" w:rsidRDefault="00EE4069" w:rsidP="008C2A35">
            <w:pPr>
              <w:pStyle w:val="Noparagraphstyle"/>
              <w:suppressAutoHyphens/>
              <w:jc w:val="right"/>
              <w:rPr>
                <w:rFonts w:ascii="Arial" w:hAnsi="Arial" w:cs="Arial"/>
                <w:b/>
                <w:sz w:val="20"/>
              </w:rPr>
            </w:pPr>
            <w:r w:rsidRPr="00525C23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682001" w:rsidRPr="000E16B7" w14:paraId="282DE48C" w14:textId="77777777" w:rsidTr="00682001">
        <w:trPr>
          <w:jc w:val="right"/>
        </w:trPr>
        <w:tc>
          <w:tcPr>
            <w:tcW w:w="567" w:type="dxa"/>
          </w:tcPr>
          <w:p w14:paraId="7297D56C" w14:textId="77777777" w:rsidR="00682001" w:rsidRPr="000E16B7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0E16B7">
              <w:rPr>
                <w:rFonts w:ascii="Arial" w:hAnsi="Arial" w:cs="Arial"/>
                <w:color w:val="000000" w:themeColor="text1"/>
                <w:sz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8FB0" w14:textId="13546CA6" w:rsidR="00682001" w:rsidRPr="00A70A78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  <w:highlight w:val="yellow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To receive the Directors’ Report and audited Financial Statements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C2BBA" w14:textId="32317B55" w:rsidR="00682001" w:rsidRPr="00C833CA" w:rsidRDefault="00AD2E10" w:rsidP="00682001">
            <w:pPr>
              <w:jc w:val="right"/>
              <w:rPr>
                <w:rFonts w:ascii="Arial" w:hAnsi="Arial" w:cs="Arial"/>
                <w:lang w:val="en-GB"/>
              </w:rPr>
            </w:pPr>
            <w:r w:rsidRPr="00C833CA">
              <w:rPr>
                <w:rFonts w:ascii="Arial" w:hAnsi="Arial" w:cs="Arial"/>
              </w:rPr>
              <w:t>5,587,410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661C6" w14:textId="65AF933E" w:rsidR="00682001" w:rsidRPr="00C833CA" w:rsidRDefault="00AD2E10" w:rsidP="00682001">
            <w:pPr>
              <w:jc w:val="right"/>
              <w:rPr>
                <w:rFonts w:ascii="Arial" w:hAnsi="Arial" w:cs="Arial"/>
                <w:lang w:val="en-GB"/>
              </w:rPr>
            </w:pPr>
            <w:r w:rsidRPr="00C833CA">
              <w:rPr>
                <w:rFonts w:ascii="Arial" w:hAnsi="Arial" w:cs="Arial"/>
              </w:rPr>
              <w:t>253,561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1D5A7" w14:textId="38149063" w:rsidR="00682001" w:rsidRPr="00C833CA" w:rsidRDefault="00AD2E10" w:rsidP="00682001">
            <w:pPr>
              <w:jc w:val="right"/>
              <w:rPr>
                <w:rFonts w:ascii="Arial" w:hAnsi="Arial" w:cs="Arial"/>
                <w:lang w:val="en-GB"/>
              </w:rPr>
            </w:pPr>
            <w:r w:rsidRPr="00C833CA">
              <w:rPr>
                <w:rFonts w:ascii="Arial" w:hAnsi="Arial" w:cs="Arial"/>
              </w:rPr>
              <w:t>4,956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30A6" w14:textId="5A4319A5" w:rsidR="00682001" w:rsidRPr="00C833CA" w:rsidRDefault="00682001" w:rsidP="00682001">
            <w:pPr>
              <w:jc w:val="right"/>
              <w:rPr>
                <w:rFonts w:ascii="Arial" w:hAnsi="Arial" w:cs="Arial"/>
                <w:lang w:val="en-GB"/>
              </w:rPr>
            </w:pPr>
            <w:r w:rsidRPr="00C833CA">
              <w:rPr>
                <w:rFonts w:ascii="Arial" w:hAnsi="Arial" w:cs="Arial"/>
              </w:rPr>
              <w:t>17,414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26FE" w14:textId="5045B12E" w:rsidR="00682001" w:rsidRPr="00C833CA" w:rsidRDefault="00AD2E10" w:rsidP="00682001">
            <w:pPr>
              <w:jc w:val="right"/>
              <w:rPr>
                <w:rFonts w:ascii="Arial" w:hAnsi="Arial" w:cs="Arial"/>
                <w:lang w:val="en-GB"/>
              </w:rPr>
            </w:pPr>
            <w:r w:rsidRPr="00C833CA">
              <w:rPr>
                <w:rFonts w:ascii="Arial" w:hAnsi="Arial" w:cs="Arial"/>
              </w:rPr>
              <w:t>5,863,341</w:t>
            </w:r>
          </w:p>
        </w:tc>
      </w:tr>
      <w:tr w:rsidR="00682001" w:rsidRPr="000E16B7" w14:paraId="0B7A56CF" w14:textId="77777777" w:rsidTr="00682001">
        <w:trPr>
          <w:jc w:val="right"/>
        </w:trPr>
        <w:tc>
          <w:tcPr>
            <w:tcW w:w="567" w:type="dxa"/>
          </w:tcPr>
          <w:p w14:paraId="03A59585" w14:textId="77777777" w:rsidR="00682001" w:rsidRPr="000E16B7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0E16B7">
              <w:rPr>
                <w:rFonts w:ascii="Arial" w:hAnsi="Arial" w:cs="Arial"/>
                <w:color w:val="000000" w:themeColor="text1"/>
                <w:sz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CDD0" w14:textId="77777777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 xml:space="preserve">To approve the Directors’ Remuneration Report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4469" w14:textId="4052DF41" w:rsidR="00682001" w:rsidRPr="00C833CA" w:rsidRDefault="00AD2E10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4,895,280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2B30" w14:textId="41943BB1" w:rsidR="00682001" w:rsidRPr="00C833CA" w:rsidRDefault="00AD2E10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301,780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BC660" w14:textId="4CBAE81D" w:rsidR="00682001" w:rsidRPr="00C833CA" w:rsidRDefault="00363078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616,094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271F" w14:textId="15E8866F" w:rsidR="00682001" w:rsidRPr="00C833CA" w:rsidRDefault="00363078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50,187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865D" w14:textId="4F7E4DEC" w:rsidR="00682001" w:rsidRPr="00C833CA" w:rsidRDefault="00363078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5,863,341</w:t>
            </w:r>
          </w:p>
        </w:tc>
      </w:tr>
      <w:tr w:rsidR="00682001" w:rsidRPr="00DE08A2" w14:paraId="3FC3DCDF" w14:textId="77777777" w:rsidTr="00682001">
        <w:trPr>
          <w:jc w:val="right"/>
        </w:trPr>
        <w:tc>
          <w:tcPr>
            <w:tcW w:w="567" w:type="dxa"/>
          </w:tcPr>
          <w:p w14:paraId="0C3C9EEF" w14:textId="04D69311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EB94" w14:textId="2D6DCFFB" w:rsidR="00682001" w:rsidRPr="00DE08A2" w:rsidRDefault="00682001" w:rsidP="00682001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DE08A2">
              <w:rPr>
                <w:rFonts w:ascii="Arial" w:hAnsi="Arial" w:cs="Arial"/>
                <w:color w:val="000000" w:themeColor="text1"/>
                <w:lang w:val="en-GB"/>
              </w:rPr>
              <w:t>To approve a final dividend payment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3B72" w14:textId="189DBF8F" w:rsidR="00682001" w:rsidRPr="00C833CA" w:rsidRDefault="00363078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5,605,577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86479" w14:textId="7F969634" w:rsidR="00682001" w:rsidRPr="00C833CA" w:rsidRDefault="00363078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251,662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34AB3" w14:textId="6B57A113" w:rsidR="00682001" w:rsidRPr="00C833CA" w:rsidRDefault="00682001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6,102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9F93" w14:textId="0E4E6DEF" w:rsidR="00682001" w:rsidRPr="00C833CA" w:rsidRDefault="00682001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AF7B" w14:textId="5908FC1C" w:rsidR="00682001" w:rsidRPr="00C833CA" w:rsidRDefault="00363078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5,863,341</w:t>
            </w:r>
          </w:p>
        </w:tc>
      </w:tr>
      <w:tr w:rsidR="00682001" w:rsidRPr="00DE08A2" w14:paraId="11B7CEC0" w14:textId="77777777" w:rsidTr="00682001">
        <w:trPr>
          <w:jc w:val="right"/>
        </w:trPr>
        <w:tc>
          <w:tcPr>
            <w:tcW w:w="567" w:type="dxa"/>
          </w:tcPr>
          <w:p w14:paraId="6F60FF70" w14:textId="1868D691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6D63" w14:textId="77777777" w:rsidR="00682001" w:rsidRPr="00DE08A2" w:rsidRDefault="00682001" w:rsidP="00682001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DE08A2">
              <w:rPr>
                <w:rFonts w:ascii="Arial" w:hAnsi="Arial" w:cs="Arial"/>
                <w:color w:val="000000" w:themeColor="text1"/>
                <w:lang w:val="en-GB"/>
              </w:rPr>
              <w:t>To re-elect Atul Devani as a Director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58FD" w14:textId="43183067" w:rsidR="00682001" w:rsidRPr="00C833CA" w:rsidRDefault="00363078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5,462,785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BCA6" w14:textId="12377862" w:rsidR="00682001" w:rsidRPr="00C833CA" w:rsidRDefault="00363078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253,561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04DE" w14:textId="1A00F0C6" w:rsidR="00682001" w:rsidRPr="00C833CA" w:rsidRDefault="00363078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75,435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AD50" w14:textId="703258F1" w:rsidR="00682001" w:rsidRPr="00C833CA" w:rsidRDefault="00363078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71,560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A8DC" w14:textId="11A53438" w:rsidR="00682001" w:rsidRPr="00C833CA" w:rsidRDefault="00363078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5,863,341</w:t>
            </w:r>
          </w:p>
        </w:tc>
      </w:tr>
      <w:tr w:rsidR="00682001" w:rsidRPr="00DE08A2" w14:paraId="6C3AFCDE" w14:textId="77777777" w:rsidTr="00682001">
        <w:trPr>
          <w:jc w:val="right"/>
        </w:trPr>
        <w:tc>
          <w:tcPr>
            <w:tcW w:w="567" w:type="dxa"/>
          </w:tcPr>
          <w:p w14:paraId="6AE15FA1" w14:textId="4C8A2D99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96CD" w14:textId="3E37801E" w:rsidR="00682001" w:rsidRPr="00DE08A2" w:rsidRDefault="00682001" w:rsidP="00682001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DE08A2">
              <w:rPr>
                <w:rFonts w:ascii="Arial" w:hAnsi="Arial" w:cs="Arial"/>
                <w:color w:val="000000" w:themeColor="text1"/>
                <w:lang w:val="en-GB"/>
              </w:rPr>
              <w:t>To re-elect David Allan as a Director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C254B" w14:textId="704DD06D" w:rsidR="00682001" w:rsidRPr="00C833CA" w:rsidRDefault="00363078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5,479,977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7A86" w14:textId="34E097CF" w:rsidR="00682001" w:rsidRPr="00C833CA" w:rsidRDefault="00363078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253,561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C3D13" w14:textId="61E424DD" w:rsidR="00682001" w:rsidRPr="00C833CA" w:rsidRDefault="00682001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20,562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C5F0" w14:textId="3420ABA4" w:rsidR="00682001" w:rsidRPr="00C833CA" w:rsidRDefault="00363078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109,241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5F54" w14:textId="2C7794F8" w:rsidR="00682001" w:rsidRPr="00C833CA" w:rsidRDefault="00363078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5,863,341</w:t>
            </w:r>
          </w:p>
        </w:tc>
      </w:tr>
      <w:tr w:rsidR="00682001" w:rsidRPr="00DE08A2" w14:paraId="0D7B2327" w14:textId="77777777" w:rsidTr="00682001">
        <w:trPr>
          <w:jc w:val="right"/>
        </w:trPr>
        <w:tc>
          <w:tcPr>
            <w:tcW w:w="567" w:type="dxa"/>
          </w:tcPr>
          <w:p w14:paraId="53835286" w14:textId="77DAC431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B00D" w14:textId="77777777" w:rsidR="00682001" w:rsidRPr="00DE08A2" w:rsidRDefault="00682001" w:rsidP="00682001">
            <w:pPr>
              <w:rPr>
                <w:rFonts w:ascii="Arial" w:hAnsi="Arial" w:cs="Arial"/>
                <w:color w:val="000000" w:themeColor="text1"/>
                <w:lang w:val="en-GB"/>
              </w:rPr>
            </w:pPr>
            <w:r w:rsidRPr="00DE08A2">
              <w:rPr>
                <w:rFonts w:ascii="Arial" w:hAnsi="Arial" w:cs="Arial"/>
                <w:color w:val="000000" w:themeColor="text1"/>
                <w:lang w:val="en-GB"/>
              </w:rPr>
              <w:t>To re-elect Bill Nixon as a Director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C69B" w14:textId="41F62DA7" w:rsidR="00682001" w:rsidRPr="00C833CA" w:rsidRDefault="00363078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5,200,640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EE0BB" w14:textId="63E98AD6" w:rsidR="00682001" w:rsidRPr="00C833CA" w:rsidRDefault="00363078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253,561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3728" w14:textId="08672ED2" w:rsidR="00682001" w:rsidRPr="00C833CA" w:rsidRDefault="00682001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76,127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CF7A" w14:textId="1FC48EF5" w:rsidR="00682001" w:rsidRPr="00C833CA" w:rsidRDefault="00363078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333,013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3BE9" w14:textId="5BCDD24C" w:rsidR="00682001" w:rsidRPr="00C833CA" w:rsidRDefault="00363078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5,863,341</w:t>
            </w:r>
          </w:p>
        </w:tc>
      </w:tr>
      <w:tr w:rsidR="00682001" w:rsidRPr="00DE08A2" w14:paraId="5B85304B" w14:textId="77777777" w:rsidTr="00682001">
        <w:trPr>
          <w:trHeight w:val="341"/>
          <w:jc w:val="right"/>
        </w:trPr>
        <w:tc>
          <w:tcPr>
            <w:tcW w:w="567" w:type="dxa"/>
          </w:tcPr>
          <w:p w14:paraId="5521EDB9" w14:textId="50C7CACC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B916" w14:textId="56B298F2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To re-elect Keith Pickering as a Director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4388" w14:textId="621EF609" w:rsidR="00682001" w:rsidRPr="00C833CA" w:rsidRDefault="00363078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5,271,989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17746" w14:textId="4AB9BD1A" w:rsidR="00682001" w:rsidRPr="00C833CA" w:rsidRDefault="00363078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253,561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97B1D" w14:textId="3C733952" w:rsidR="00682001" w:rsidRPr="00C833CA" w:rsidRDefault="00363078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270,772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FAB2" w14:textId="6F574E41" w:rsidR="00682001" w:rsidRPr="00C833CA" w:rsidRDefault="00AD3E7D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67,019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85D7" w14:textId="42512219" w:rsidR="00682001" w:rsidRPr="00C833CA" w:rsidRDefault="00AD3E7D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5,863,341</w:t>
            </w:r>
          </w:p>
        </w:tc>
      </w:tr>
      <w:tr w:rsidR="00682001" w:rsidRPr="00DE08A2" w14:paraId="06F7157C" w14:textId="77777777" w:rsidTr="00682001">
        <w:trPr>
          <w:trHeight w:val="341"/>
          <w:jc w:val="right"/>
        </w:trPr>
        <w:tc>
          <w:tcPr>
            <w:tcW w:w="567" w:type="dxa"/>
          </w:tcPr>
          <w:p w14:paraId="480049E9" w14:textId="1159B81D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5911" w14:textId="77777777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 xml:space="preserve">To re-appoint Deloitte LLP as Auditor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D0D2" w14:textId="721D90F7" w:rsidR="00682001" w:rsidRPr="00C833CA" w:rsidRDefault="00AD3E7D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4,667,398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8D47D" w14:textId="0A953633" w:rsidR="00682001" w:rsidRPr="00C833CA" w:rsidRDefault="00AD3E7D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310,268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B533" w14:textId="0C619457" w:rsidR="00682001" w:rsidRPr="00C833CA" w:rsidRDefault="00AD3E7D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817,388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2DAF" w14:textId="5634EB7A" w:rsidR="00682001" w:rsidRPr="00C833CA" w:rsidRDefault="00AD3E7D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68,287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6958" w14:textId="71DD02ED" w:rsidR="00682001" w:rsidRPr="00C833CA" w:rsidRDefault="00AD3E7D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5,863,341</w:t>
            </w:r>
          </w:p>
        </w:tc>
      </w:tr>
      <w:tr w:rsidR="00682001" w:rsidRPr="00DE08A2" w14:paraId="0B4D7518" w14:textId="77777777" w:rsidTr="00682001">
        <w:trPr>
          <w:trHeight w:val="274"/>
          <w:jc w:val="right"/>
        </w:trPr>
        <w:tc>
          <w:tcPr>
            <w:tcW w:w="567" w:type="dxa"/>
          </w:tcPr>
          <w:p w14:paraId="4FFFF895" w14:textId="1A7FD260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515C" w14:textId="62424A58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To authorise the Directors to fix the remuneration of the Auditor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DF91D" w14:textId="546075D6" w:rsidR="00682001" w:rsidRPr="00C833CA" w:rsidRDefault="00144670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5,239,763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73FA" w14:textId="63D10452" w:rsidR="00682001" w:rsidRPr="00C833CA" w:rsidRDefault="00144670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400,163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F844" w14:textId="4B04CF29" w:rsidR="00682001" w:rsidRPr="00C833CA" w:rsidRDefault="00144670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182,997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1640" w14:textId="54CF715A" w:rsidR="00682001" w:rsidRPr="00C833CA" w:rsidRDefault="00144670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40,418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9561" w14:textId="4D7E116C" w:rsidR="00682001" w:rsidRPr="00C833CA" w:rsidRDefault="00144670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5,863,341</w:t>
            </w:r>
          </w:p>
        </w:tc>
      </w:tr>
      <w:tr w:rsidR="00682001" w:rsidRPr="00DE08A2" w14:paraId="3F9C2D70" w14:textId="77777777" w:rsidTr="00682001">
        <w:trPr>
          <w:trHeight w:val="547"/>
          <w:jc w:val="right"/>
        </w:trPr>
        <w:tc>
          <w:tcPr>
            <w:tcW w:w="567" w:type="dxa"/>
          </w:tcPr>
          <w:p w14:paraId="3591DECE" w14:textId="1F01063A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4A72" w14:textId="77777777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To authorise the Directors to allot new shares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C770" w14:textId="0B48BDFC" w:rsidR="00682001" w:rsidRPr="00C833CA" w:rsidRDefault="00144670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5,014,051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ED3A" w14:textId="6FDBE7C3" w:rsidR="00682001" w:rsidRPr="00C833CA" w:rsidRDefault="00144670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242,697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A63C" w14:textId="033B98AC" w:rsidR="00682001" w:rsidRPr="00C833CA" w:rsidRDefault="00682001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556,346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0F4F" w14:textId="6CC3A783" w:rsidR="00682001" w:rsidRPr="00C833CA" w:rsidRDefault="00144670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50,247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166D" w14:textId="3BB7E78A" w:rsidR="00682001" w:rsidRPr="00C833CA" w:rsidRDefault="00144670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5,863,341</w:t>
            </w:r>
          </w:p>
        </w:tc>
      </w:tr>
      <w:tr w:rsidR="00682001" w:rsidRPr="00DE08A2" w14:paraId="1189D7DD" w14:textId="77777777" w:rsidTr="00682001">
        <w:trPr>
          <w:jc w:val="right"/>
        </w:trPr>
        <w:tc>
          <w:tcPr>
            <w:tcW w:w="567" w:type="dxa"/>
          </w:tcPr>
          <w:p w14:paraId="6587F35B" w14:textId="6C4BE751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E9D0" w14:textId="77777777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To authorise disapplication of pre-emption rights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9ECA" w14:textId="15C85BB0" w:rsidR="00682001" w:rsidRPr="00C833CA" w:rsidRDefault="00144670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4,736,240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D7723" w14:textId="5FAEDCAB" w:rsidR="00682001" w:rsidRPr="00C833CA" w:rsidRDefault="00144670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265,172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45B1" w14:textId="75F1AF92" w:rsidR="00682001" w:rsidRPr="00C833CA" w:rsidRDefault="00144670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764,512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782F" w14:textId="34E498AB" w:rsidR="00682001" w:rsidRPr="00C833CA" w:rsidRDefault="00144670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97,417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7797" w14:textId="4CC63CCF" w:rsidR="00682001" w:rsidRPr="00C833CA" w:rsidRDefault="00144670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5,863,341</w:t>
            </w:r>
          </w:p>
        </w:tc>
      </w:tr>
      <w:tr w:rsidR="00682001" w:rsidRPr="00DE08A2" w14:paraId="0F7229CF" w14:textId="77777777" w:rsidTr="00682001">
        <w:trPr>
          <w:jc w:val="right"/>
        </w:trPr>
        <w:tc>
          <w:tcPr>
            <w:tcW w:w="567" w:type="dxa"/>
          </w:tcPr>
          <w:p w14:paraId="702B0470" w14:textId="1923223C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1DA5" w14:textId="77777777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To authorise the Company to purchase its own shares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1E95" w14:textId="372B72F4" w:rsidR="00682001" w:rsidRPr="00C833CA" w:rsidRDefault="00144670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4,857,471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F339" w14:textId="0DC766A6" w:rsidR="00682001" w:rsidRPr="00C833CA" w:rsidRDefault="00144670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240,482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8BB48" w14:textId="6F178FBD" w:rsidR="00682001" w:rsidRPr="00C833CA" w:rsidRDefault="00144670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729,511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9073" w14:textId="7C9713EF" w:rsidR="00682001" w:rsidRPr="00C833CA" w:rsidRDefault="00682001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35,877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56B4" w14:textId="5273C7D7" w:rsidR="00682001" w:rsidRPr="00C833CA" w:rsidRDefault="00144670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5,863,341</w:t>
            </w:r>
          </w:p>
        </w:tc>
      </w:tr>
      <w:tr w:rsidR="00682001" w:rsidRPr="000E16B7" w14:paraId="2E6D8A50" w14:textId="77777777" w:rsidTr="00682001">
        <w:trPr>
          <w:jc w:val="right"/>
        </w:trPr>
        <w:tc>
          <w:tcPr>
            <w:tcW w:w="567" w:type="dxa"/>
          </w:tcPr>
          <w:p w14:paraId="29BAABB0" w14:textId="36ABDA0F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4F55" w14:textId="77777777" w:rsidR="00682001" w:rsidRPr="00DE08A2" w:rsidRDefault="00682001" w:rsidP="00682001">
            <w:pPr>
              <w:pStyle w:val="Noparagraphstyle"/>
              <w:suppressAutoHyphens/>
              <w:rPr>
                <w:rFonts w:ascii="Arial" w:hAnsi="Arial" w:cs="Arial"/>
                <w:color w:val="000000" w:themeColor="text1"/>
                <w:sz w:val="20"/>
              </w:rPr>
            </w:pPr>
            <w:r w:rsidRPr="00DE08A2">
              <w:rPr>
                <w:rFonts w:ascii="Arial" w:hAnsi="Arial" w:cs="Arial"/>
                <w:color w:val="000000" w:themeColor="text1"/>
                <w:sz w:val="20"/>
              </w:rPr>
              <w:t>To allow a General Meeting to be called on not less than 14 days’ notice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6C42" w14:textId="1B0161FD" w:rsidR="00682001" w:rsidRPr="00C833CA" w:rsidRDefault="0017781F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5,368,572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0DE5" w14:textId="3FDA3D27" w:rsidR="00682001" w:rsidRPr="00C833CA" w:rsidRDefault="0017781F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240,482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CF603" w14:textId="2508B637" w:rsidR="00682001" w:rsidRPr="00C833CA" w:rsidRDefault="00682001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235,692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B99E" w14:textId="4AE4A48B" w:rsidR="00682001" w:rsidRPr="00C833CA" w:rsidRDefault="00682001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18,595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A4C8" w14:textId="73FEB63A" w:rsidR="00682001" w:rsidRPr="00C833CA" w:rsidRDefault="0017781F" w:rsidP="00682001">
            <w:pPr>
              <w:jc w:val="right"/>
              <w:rPr>
                <w:rFonts w:ascii="Arial" w:hAnsi="Arial" w:cs="Arial"/>
              </w:rPr>
            </w:pPr>
            <w:r w:rsidRPr="00C833CA">
              <w:rPr>
                <w:rFonts w:ascii="Arial" w:hAnsi="Arial" w:cs="Arial"/>
              </w:rPr>
              <w:t>5,863,341</w:t>
            </w:r>
          </w:p>
        </w:tc>
      </w:tr>
    </w:tbl>
    <w:p w14:paraId="60494A02" w14:textId="77777777" w:rsidR="00A74717" w:rsidRPr="000E16B7" w:rsidRDefault="00A74717" w:rsidP="008C2A35">
      <w:pPr>
        <w:ind w:right="-716"/>
        <w:rPr>
          <w:rFonts w:ascii="Arial" w:hAnsi="Arial" w:cs="Arial"/>
          <w:color w:val="000000" w:themeColor="text1"/>
        </w:rPr>
      </w:pPr>
    </w:p>
    <w:p w14:paraId="0FDE8B11" w14:textId="781EC9A9" w:rsidR="009D2EEC" w:rsidRDefault="00EE4069" w:rsidP="008C2A35">
      <w:pPr>
        <w:rPr>
          <w:rFonts w:ascii="Arial" w:hAnsi="Arial"/>
        </w:rPr>
      </w:pPr>
      <w:r w:rsidRPr="00A74717">
        <w:rPr>
          <w:rFonts w:ascii="Arial" w:hAnsi="Arial" w:cs="Arial"/>
        </w:rPr>
        <w:t>A vot</w:t>
      </w:r>
      <w:r w:rsidR="00B93A9B">
        <w:rPr>
          <w:rFonts w:ascii="Arial" w:hAnsi="Arial" w:cs="Arial"/>
        </w:rPr>
        <w:t>e withheld is not a vote in law and</w:t>
      </w:r>
      <w:r w:rsidRPr="00A74717">
        <w:rPr>
          <w:rFonts w:ascii="Arial" w:hAnsi="Arial" w:cs="Arial"/>
        </w:rPr>
        <w:t xml:space="preserve"> any such votes have not been included in the votes for or against </w:t>
      </w:r>
      <w:r w:rsidR="00256CBC">
        <w:rPr>
          <w:rFonts w:ascii="Arial" w:hAnsi="Arial" w:cs="Arial"/>
        </w:rPr>
        <w:t>t</w:t>
      </w:r>
      <w:r w:rsidRPr="00A74717">
        <w:rPr>
          <w:rFonts w:ascii="Arial" w:hAnsi="Arial" w:cs="Arial"/>
        </w:rPr>
        <w:t>he</w:t>
      </w:r>
      <w:r w:rsidR="00B55E4B" w:rsidRPr="00A74717">
        <w:rPr>
          <w:rFonts w:ascii="Arial" w:hAnsi="Arial" w:cs="Arial"/>
        </w:rPr>
        <w:t xml:space="preserve"> </w:t>
      </w:r>
      <w:r w:rsidRPr="00A74717">
        <w:rPr>
          <w:rFonts w:ascii="Arial" w:hAnsi="Arial" w:cs="Arial"/>
        </w:rPr>
        <w:t>respective Resolutions.</w:t>
      </w:r>
      <w:r w:rsidR="0007608C">
        <w:rPr>
          <w:rFonts w:ascii="Arial" w:hAnsi="Arial" w:cs="Arial"/>
        </w:rPr>
        <w:t xml:space="preserve"> </w:t>
      </w:r>
      <w:r w:rsidR="00B420DA" w:rsidRPr="00B420DA">
        <w:rPr>
          <w:rFonts w:ascii="Arial" w:hAnsi="Arial"/>
        </w:rPr>
        <w:t>The voting figures</w:t>
      </w:r>
      <w:r w:rsidR="00F36FEB">
        <w:rPr>
          <w:rFonts w:ascii="Arial" w:hAnsi="Arial"/>
        </w:rPr>
        <w:t xml:space="preserve"> w</w:t>
      </w:r>
      <w:r w:rsidR="00B420DA" w:rsidRPr="00B420DA">
        <w:rPr>
          <w:rFonts w:ascii="Arial" w:hAnsi="Arial"/>
        </w:rPr>
        <w:t>ill be available to view at</w:t>
      </w:r>
      <w:r w:rsidR="0007608C" w:rsidRPr="001D558D">
        <w:rPr>
          <w:rFonts w:ascii="Arial" w:hAnsi="Arial"/>
        </w:rPr>
        <w:t xml:space="preserve">: </w:t>
      </w:r>
      <w:hyperlink r:id="rId7" w:history="1">
        <w:r w:rsidR="003B1CC8" w:rsidRPr="00E151ED">
          <w:rPr>
            <w:rStyle w:val="Hyperlink"/>
            <w:rFonts w:ascii="Arial" w:hAnsi="Arial"/>
          </w:rPr>
          <w:t>www.mavencp.com/migvct3</w:t>
        </w:r>
      </w:hyperlink>
      <w:r w:rsidR="003B1CC8">
        <w:rPr>
          <w:rFonts w:ascii="Arial" w:hAnsi="Arial"/>
        </w:rPr>
        <w:t>.</w:t>
      </w:r>
    </w:p>
    <w:p w14:paraId="2D12DF6F" w14:textId="77777777" w:rsidR="009D2EEC" w:rsidRDefault="009D2EEC" w:rsidP="008C2A35">
      <w:pPr>
        <w:rPr>
          <w:rFonts w:ascii="Arial" w:hAnsi="Arial" w:cs="Arial"/>
          <w:spacing w:val="-2"/>
        </w:rPr>
      </w:pPr>
    </w:p>
    <w:p w14:paraId="7A007384" w14:textId="0C41A0DC" w:rsidR="009D2EEC" w:rsidRPr="009D2EEC" w:rsidRDefault="007E4DF3" w:rsidP="008C2A35">
      <w:pPr>
        <w:rPr>
          <w:rStyle w:val="Hyperlink"/>
        </w:rPr>
      </w:pPr>
      <w:r>
        <w:rPr>
          <w:rFonts w:ascii="Arial" w:hAnsi="Arial" w:cs="Arial"/>
          <w:spacing w:val="-2"/>
        </w:rPr>
        <w:t xml:space="preserve">A copy of the </w:t>
      </w:r>
      <w:r w:rsidR="00EE4069" w:rsidRPr="00A74717">
        <w:rPr>
          <w:rFonts w:ascii="Arial" w:hAnsi="Arial" w:cs="Arial"/>
          <w:spacing w:val="-2"/>
        </w:rPr>
        <w:t xml:space="preserve">Resolutions </w:t>
      </w:r>
      <w:r>
        <w:rPr>
          <w:rFonts w:ascii="Arial" w:hAnsi="Arial" w:cs="Arial"/>
          <w:spacing w:val="-2"/>
        </w:rPr>
        <w:t>passed at the 20</w:t>
      </w:r>
      <w:r w:rsidR="00EC7734">
        <w:rPr>
          <w:rFonts w:ascii="Arial" w:hAnsi="Arial" w:cs="Arial"/>
          <w:spacing w:val="-2"/>
        </w:rPr>
        <w:t>2</w:t>
      </w:r>
      <w:r w:rsidR="006D17D0">
        <w:rPr>
          <w:rFonts w:ascii="Arial" w:hAnsi="Arial" w:cs="Arial"/>
          <w:spacing w:val="-2"/>
        </w:rPr>
        <w:t>2</w:t>
      </w:r>
      <w:r w:rsidR="00EC7734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AGM </w:t>
      </w:r>
      <w:r w:rsidR="000F07F3" w:rsidRPr="000F07F3">
        <w:rPr>
          <w:rFonts w:ascii="Arial" w:hAnsi="Arial" w:cs="Arial"/>
          <w:spacing w:val="-2"/>
        </w:rPr>
        <w:t>ha</w:t>
      </w:r>
      <w:r w:rsidR="0028792D">
        <w:rPr>
          <w:rFonts w:ascii="Arial" w:hAnsi="Arial" w:cs="Arial"/>
          <w:spacing w:val="-2"/>
        </w:rPr>
        <w:t>ve</w:t>
      </w:r>
      <w:r w:rsidR="000F07F3" w:rsidRPr="000F07F3">
        <w:rPr>
          <w:rFonts w:ascii="Arial" w:hAnsi="Arial" w:cs="Arial"/>
          <w:spacing w:val="-2"/>
        </w:rPr>
        <w:t xml:space="preserve"> been submitted to </w:t>
      </w:r>
      <w:r w:rsidR="000F07F3" w:rsidRPr="006D73B9">
        <w:rPr>
          <w:rFonts w:ascii="Arial" w:hAnsi="Arial" w:cs="Arial"/>
          <w:spacing w:val="-2"/>
        </w:rPr>
        <w:t>the National Storag</w:t>
      </w:r>
      <w:r w:rsidR="0028792D" w:rsidRPr="006D73B9">
        <w:rPr>
          <w:rFonts w:ascii="Arial" w:hAnsi="Arial" w:cs="Arial"/>
          <w:spacing w:val="-2"/>
        </w:rPr>
        <w:t xml:space="preserve">e Mechanism and will shortly be </w:t>
      </w:r>
      <w:r w:rsidR="000F07F3" w:rsidRPr="006D73B9">
        <w:rPr>
          <w:rFonts w:ascii="Arial" w:hAnsi="Arial" w:cs="Arial"/>
          <w:spacing w:val="-2"/>
        </w:rPr>
        <w:t xml:space="preserve">available for inspection at: </w:t>
      </w:r>
      <w:hyperlink r:id="rId8" w:history="1">
        <w:r w:rsidR="009D2EEC" w:rsidRPr="009D2EEC">
          <w:rPr>
            <w:rStyle w:val="Hyperlink"/>
            <w:rFonts w:ascii="Arial" w:hAnsi="Arial"/>
          </w:rPr>
          <w:t>https://www.fca.org.uk/markets/primary-markets/regulatory-disclosures/national-storage-mechanism</w:t>
        </w:r>
      </w:hyperlink>
      <w:r w:rsidR="009D2EEC" w:rsidRPr="009D2EEC">
        <w:rPr>
          <w:rStyle w:val="Hyperlink"/>
          <w:rFonts w:ascii="Arial" w:hAnsi="Arial"/>
        </w:rPr>
        <w:t>.</w:t>
      </w:r>
    </w:p>
    <w:p w14:paraId="2C4F4812" w14:textId="7E5C8E1A" w:rsidR="0028792D" w:rsidRPr="009D2EEC" w:rsidRDefault="0028792D" w:rsidP="008C2A35">
      <w:pPr>
        <w:rPr>
          <w:rStyle w:val="Hyperlink"/>
        </w:rPr>
      </w:pPr>
    </w:p>
    <w:p w14:paraId="788C9C9F" w14:textId="77777777" w:rsidR="00583068" w:rsidRDefault="00583068" w:rsidP="008C2A35">
      <w:pPr>
        <w:rPr>
          <w:rFonts w:ascii="Arial" w:hAnsi="Arial" w:cs="Arial"/>
          <w:spacing w:val="-2"/>
        </w:rPr>
      </w:pPr>
    </w:p>
    <w:p w14:paraId="456187E8" w14:textId="77777777" w:rsidR="00583068" w:rsidRPr="00A74717" w:rsidRDefault="00583068" w:rsidP="008C2A35">
      <w:pPr>
        <w:rPr>
          <w:rFonts w:ascii="Arial" w:hAnsi="Arial" w:cs="Arial"/>
          <w:spacing w:val="-2"/>
        </w:rPr>
      </w:pPr>
      <w:r w:rsidRPr="00A74717">
        <w:rPr>
          <w:rFonts w:ascii="Arial" w:hAnsi="Arial" w:cs="Arial"/>
          <w:spacing w:val="-2"/>
        </w:rPr>
        <w:t>Issued on behalf of the Board</w:t>
      </w:r>
    </w:p>
    <w:p w14:paraId="49A7AAC5" w14:textId="77777777" w:rsidR="000F07F3" w:rsidRDefault="00BC7868" w:rsidP="008C2A35">
      <w:pPr>
        <w:rPr>
          <w:rFonts w:ascii="Arial" w:hAnsi="Arial" w:cs="Arial"/>
          <w:spacing w:val="-2"/>
        </w:rPr>
      </w:pPr>
      <w:r w:rsidRPr="00A74717">
        <w:rPr>
          <w:rFonts w:ascii="Arial" w:hAnsi="Arial" w:cs="Arial"/>
          <w:spacing w:val="-2"/>
        </w:rPr>
        <w:t xml:space="preserve">Maven Capital Partners </w:t>
      </w:r>
      <w:smartTag w:uri="urn:schemas-microsoft-com:office:smarttags" w:element="place">
        <w:smartTag w:uri="urn:schemas-microsoft-com:office:smarttags" w:element="country-region">
          <w:r w:rsidRPr="00A74717">
            <w:rPr>
              <w:rFonts w:ascii="Arial" w:hAnsi="Arial" w:cs="Arial"/>
              <w:spacing w:val="-2"/>
            </w:rPr>
            <w:t>UK</w:t>
          </w:r>
        </w:smartTag>
      </w:smartTag>
      <w:r w:rsidRPr="00A74717">
        <w:rPr>
          <w:rFonts w:ascii="Arial" w:hAnsi="Arial" w:cs="Arial"/>
          <w:spacing w:val="-2"/>
        </w:rPr>
        <w:t xml:space="preserve"> LLP</w:t>
      </w:r>
      <w:r w:rsidR="00583068" w:rsidRPr="00A74717">
        <w:rPr>
          <w:rFonts w:ascii="Arial" w:hAnsi="Arial" w:cs="Arial"/>
          <w:spacing w:val="-2"/>
        </w:rPr>
        <w:t>, Secretary</w:t>
      </w:r>
    </w:p>
    <w:p w14:paraId="404F1917" w14:textId="198A1542" w:rsidR="00583068" w:rsidRDefault="006D17D0" w:rsidP="008C2A35">
      <w:pPr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6</w:t>
      </w:r>
      <w:r w:rsidR="00385B97">
        <w:rPr>
          <w:rFonts w:ascii="Arial" w:hAnsi="Arial" w:cs="Arial"/>
          <w:spacing w:val="-2"/>
        </w:rPr>
        <w:t xml:space="preserve"> April 20</w:t>
      </w:r>
      <w:r w:rsidR="00EC7734">
        <w:rPr>
          <w:rFonts w:ascii="Arial" w:hAnsi="Arial" w:cs="Arial"/>
          <w:spacing w:val="-2"/>
        </w:rPr>
        <w:t>2</w:t>
      </w:r>
      <w:r>
        <w:rPr>
          <w:rFonts w:ascii="Arial" w:hAnsi="Arial" w:cs="Arial"/>
          <w:spacing w:val="-2"/>
        </w:rPr>
        <w:t>2</w:t>
      </w:r>
    </w:p>
    <w:p w14:paraId="6127B8F1" w14:textId="4BEEEB7D" w:rsidR="008C2A35" w:rsidRDefault="008C2A35" w:rsidP="008C2A35">
      <w:pPr>
        <w:rPr>
          <w:rFonts w:ascii="Arial" w:hAnsi="Arial" w:cs="Arial"/>
          <w:spacing w:val="-2"/>
        </w:rPr>
      </w:pPr>
    </w:p>
    <w:p w14:paraId="27CCF081" w14:textId="7C335363" w:rsidR="008C2A35" w:rsidRDefault="008C2A35" w:rsidP="008C2A35">
      <w:pPr>
        <w:rPr>
          <w:rFonts w:ascii="Arial" w:hAnsi="Arial" w:cs="Arial"/>
          <w:spacing w:val="-2"/>
        </w:rPr>
      </w:pPr>
    </w:p>
    <w:p w14:paraId="5812E497" w14:textId="77777777" w:rsidR="008C2A35" w:rsidRPr="00A74717" w:rsidRDefault="008C2A35" w:rsidP="008C2A35">
      <w:pPr>
        <w:rPr>
          <w:rFonts w:ascii="Arial" w:hAnsi="Arial" w:cs="Arial"/>
        </w:rPr>
      </w:pPr>
    </w:p>
    <w:sectPr w:rsidR="008C2A35" w:rsidRPr="00A74717" w:rsidSect="008C2A35">
      <w:headerReference w:type="even" r:id="rId9"/>
      <w:headerReference w:type="default" r:id="rId10"/>
      <w:pgSz w:w="11906" w:h="16838" w:code="9"/>
      <w:pgMar w:top="426" w:right="707" w:bottom="142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F3FAC" w14:textId="77777777" w:rsidR="007F11FB" w:rsidRDefault="007F11FB">
      <w:r>
        <w:separator/>
      </w:r>
    </w:p>
  </w:endnote>
  <w:endnote w:type="continuationSeparator" w:id="0">
    <w:p w14:paraId="5BF10879" w14:textId="77777777" w:rsidR="007F11FB" w:rsidRDefault="007F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52CF" w14:textId="77777777" w:rsidR="007F11FB" w:rsidRDefault="007F11FB">
      <w:r>
        <w:separator/>
      </w:r>
    </w:p>
  </w:footnote>
  <w:footnote w:type="continuationSeparator" w:id="0">
    <w:p w14:paraId="64735C1F" w14:textId="77777777" w:rsidR="007F11FB" w:rsidRDefault="007F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BBB0" w14:textId="79CC82ED" w:rsidR="005E33C6" w:rsidRDefault="00F36FEB">
    <w:pPr>
      <w:pStyle w:val="Header"/>
    </w:pPr>
    <w:r>
      <w:rPr>
        <w:noProof/>
      </w:rPr>
      <w:pict w14:anchorId="3D3372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618579" o:spid="_x0000_s6148" type="#_x0000_t136" style="position:absolute;margin-left:0;margin-top:0;width:473.25pt;height:189.3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C5BB" w14:textId="398CD2EE" w:rsidR="00DC272E" w:rsidRDefault="00F36FEB">
    <w:pPr>
      <w:pStyle w:val="Header"/>
    </w:pPr>
    <w:r>
      <w:rPr>
        <w:noProof/>
      </w:rPr>
      <w:pict w14:anchorId="2E70D4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618580" o:spid="_x0000_s6149" type="#_x0000_t136" style="position:absolute;margin-left:0;margin-top:0;width:473.25pt;height:189.3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EF"/>
    <w:rsid w:val="00013DB4"/>
    <w:rsid w:val="000404CD"/>
    <w:rsid w:val="00045AFA"/>
    <w:rsid w:val="00072A10"/>
    <w:rsid w:val="0007608C"/>
    <w:rsid w:val="00076D21"/>
    <w:rsid w:val="00083B5D"/>
    <w:rsid w:val="000A0CF3"/>
    <w:rsid w:val="000A5E59"/>
    <w:rsid w:val="000B30F4"/>
    <w:rsid w:val="000B7853"/>
    <w:rsid w:val="000D50CA"/>
    <w:rsid w:val="000E03DF"/>
    <w:rsid w:val="000E16B7"/>
    <w:rsid w:val="000F07F3"/>
    <w:rsid w:val="00144670"/>
    <w:rsid w:val="00165CED"/>
    <w:rsid w:val="0017781F"/>
    <w:rsid w:val="00192DDE"/>
    <w:rsid w:val="001A06A6"/>
    <w:rsid w:val="001C5073"/>
    <w:rsid w:val="001D558D"/>
    <w:rsid w:val="001E53A7"/>
    <w:rsid w:val="002048DF"/>
    <w:rsid w:val="00206A16"/>
    <w:rsid w:val="00216557"/>
    <w:rsid w:val="00221B3F"/>
    <w:rsid w:val="0023075F"/>
    <w:rsid w:val="00232853"/>
    <w:rsid w:val="00240539"/>
    <w:rsid w:val="00244B1D"/>
    <w:rsid w:val="00256CBC"/>
    <w:rsid w:val="0026137F"/>
    <w:rsid w:val="00265D7D"/>
    <w:rsid w:val="0028792D"/>
    <w:rsid w:val="00293B72"/>
    <w:rsid w:val="002A02ED"/>
    <w:rsid w:val="002D6DF1"/>
    <w:rsid w:val="002E5266"/>
    <w:rsid w:val="002F3754"/>
    <w:rsid w:val="00313A47"/>
    <w:rsid w:val="00315126"/>
    <w:rsid w:val="003268B6"/>
    <w:rsid w:val="00334FB2"/>
    <w:rsid w:val="00342BCF"/>
    <w:rsid w:val="00363078"/>
    <w:rsid w:val="0038301D"/>
    <w:rsid w:val="00385B97"/>
    <w:rsid w:val="003B1CC8"/>
    <w:rsid w:val="003E6271"/>
    <w:rsid w:val="00402079"/>
    <w:rsid w:val="00402707"/>
    <w:rsid w:val="004047EF"/>
    <w:rsid w:val="00413450"/>
    <w:rsid w:val="00414B93"/>
    <w:rsid w:val="00422C29"/>
    <w:rsid w:val="00432579"/>
    <w:rsid w:val="00436AB5"/>
    <w:rsid w:val="00437D29"/>
    <w:rsid w:val="00440F3D"/>
    <w:rsid w:val="004424DE"/>
    <w:rsid w:val="00443BC6"/>
    <w:rsid w:val="004974AE"/>
    <w:rsid w:val="004A1FC6"/>
    <w:rsid w:val="004A2641"/>
    <w:rsid w:val="004A3011"/>
    <w:rsid w:val="004B7E57"/>
    <w:rsid w:val="004E0974"/>
    <w:rsid w:val="004F7C6F"/>
    <w:rsid w:val="0050027C"/>
    <w:rsid w:val="00515799"/>
    <w:rsid w:val="00525C23"/>
    <w:rsid w:val="00541B14"/>
    <w:rsid w:val="00543BBA"/>
    <w:rsid w:val="00563694"/>
    <w:rsid w:val="0057054D"/>
    <w:rsid w:val="00583068"/>
    <w:rsid w:val="00594127"/>
    <w:rsid w:val="005B0214"/>
    <w:rsid w:val="005B77E0"/>
    <w:rsid w:val="005C0A0E"/>
    <w:rsid w:val="005C1525"/>
    <w:rsid w:val="005E33C6"/>
    <w:rsid w:val="00605E3F"/>
    <w:rsid w:val="0061645C"/>
    <w:rsid w:val="00653A5E"/>
    <w:rsid w:val="00670577"/>
    <w:rsid w:val="0067071A"/>
    <w:rsid w:val="00682001"/>
    <w:rsid w:val="006829E9"/>
    <w:rsid w:val="00682D0A"/>
    <w:rsid w:val="00695753"/>
    <w:rsid w:val="006963F9"/>
    <w:rsid w:val="006A5EB0"/>
    <w:rsid w:val="006A6546"/>
    <w:rsid w:val="006B0BD4"/>
    <w:rsid w:val="006C6467"/>
    <w:rsid w:val="006D17D0"/>
    <w:rsid w:val="006D7046"/>
    <w:rsid w:val="006D73B9"/>
    <w:rsid w:val="0070523B"/>
    <w:rsid w:val="007238D2"/>
    <w:rsid w:val="0073509B"/>
    <w:rsid w:val="00760BC0"/>
    <w:rsid w:val="00770223"/>
    <w:rsid w:val="00780E30"/>
    <w:rsid w:val="007A3B8E"/>
    <w:rsid w:val="007B32F3"/>
    <w:rsid w:val="007C4581"/>
    <w:rsid w:val="007E4DF3"/>
    <w:rsid w:val="007F11FB"/>
    <w:rsid w:val="007F5E0B"/>
    <w:rsid w:val="00832631"/>
    <w:rsid w:val="00843B92"/>
    <w:rsid w:val="00886CB3"/>
    <w:rsid w:val="00896D91"/>
    <w:rsid w:val="008C2010"/>
    <w:rsid w:val="008C2A35"/>
    <w:rsid w:val="008C4904"/>
    <w:rsid w:val="008F4236"/>
    <w:rsid w:val="008F4683"/>
    <w:rsid w:val="008F4CC8"/>
    <w:rsid w:val="0091615F"/>
    <w:rsid w:val="00917A59"/>
    <w:rsid w:val="00934B98"/>
    <w:rsid w:val="00936319"/>
    <w:rsid w:val="009474ED"/>
    <w:rsid w:val="00952B2C"/>
    <w:rsid w:val="00956E6D"/>
    <w:rsid w:val="0096747F"/>
    <w:rsid w:val="009747AB"/>
    <w:rsid w:val="009A2033"/>
    <w:rsid w:val="009A6104"/>
    <w:rsid w:val="009B2012"/>
    <w:rsid w:val="009C2FD5"/>
    <w:rsid w:val="009C4EA2"/>
    <w:rsid w:val="009D020E"/>
    <w:rsid w:val="009D061A"/>
    <w:rsid w:val="009D1F17"/>
    <w:rsid w:val="009D2EEC"/>
    <w:rsid w:val="009D496B"/>
    <w:rsid w:val="009D4E09"/>
    <w:rsid w:val="009E481E"/>
    <w:rsid w:val="00A00194"/>
    <w:rsid w:val="00A15F53"/>
    <w:rsid w:val="00A30929"/>
    <w:rsid w:val="00A47951"/>
    <w:rsid w:val="00A70A78"/>
    <w:rsid w:val="00A74717"/>
    <w:rsid w:val="00AA190B"/>
    <w:rsid w:val="00AD2E10"/>
    <w:rsid w:val="00AD3E7D"/>
    <w:rsid w:val="00AF5458"/>
    <w:rsid w:val="00B420DA"/>
    <w:rsid w:val="00B55E4B"/>
    <w:rsid w:val="00B676E0"/>
    <w:rsid w:val="00B808A4"/>
    <w:rsid w:val="00B93A9B"/>
    <w:rsid w:val="00BB4272"/>
    <w:rsid w:val="00BC2A25"/>
    <w:rsid w:val="00BC7868"/>
    <w:rsid w:val="00BE4331"/>
    <w:rsid w:val="00C62ECA"/>
    <w:rsid w:val="00C647EF"/>
    <w:rsid w:val="00C73FE8"/>
    <w:rsid w:val="00C833CA"/>
    <w:rsid w:val="00C85A33"/>
    <w:rsid w:val="00C90CB9"/>
    <w:rsid w:val="00CC49DC"/>
    <w:rsid w:val="00CD3CB9"/>
    <w:rsid w:val="00CF4090"/>
    <w:rsid w:val="00D01F4B"/>
    <w:rsid w:val="00D06432"/>
    <w:rsid w:val="00D126CB"/>
    <w:rsid w:val="00D16F66"/>
    <w:rsid w:val="00D42DA4"/>
    <w:rsid w:val="00D46DD7"/>
    <w:rsid w:val="00D60098"/>
    <w:rsid w:val="00D6265F"/>
    <w:rsid w:val="00D73F53"/>
    <w:rsid w:val="00D84800"/>
    <w:rsid w:val="00DC272E"/>
    <w:rsid w:val="00DC7079"/>
    <w:rsid w:val="00DE0491"/>
    <w:rsid w:val="00DE08A2"/>
    <w:rsid w:val="00E11C0D"/>
    <w:rsid w:val="00E46043"/>
    <w:rsid w:val="00E60179"/>
    <w:rsid w:val="00E76336"/>
    <w:rsid w:val="00E86149"/>
    <w:rsid w:val="00E86D9F"/>
    <w:rsid w:val="00E97AFA"/>
    <w:rsid w:val="00EA2043"/>
    <w:rsid w:val="00EC7734"/>
    <w:rsid w:val="00ED555A"/>
    <w:rsid w:val="00EE4069"/>
    <w:rsid w:val="00EE6FF9"/>
    <w:rsid w:val="00F15975"/>
    <w:rsid w:val="00F3148E"/>
    <w:rsid w:val="00F36FEB"/>
    <w:rsid w:val="00F374A5"/>
    <w:rsid w:val="00F37FA9"/>
    <w:rsid w:val="00F55039"/>
    <w:rsid w:val="00F7478A"/>
    <w:rsid w:val="00F84A94"/>
    <w:rsid w:val="00F9496B"/>
    <w:rsid w:val="00FA283A"/>
    <w:rsid w:val="00FC5621"/>
    <w:rsid w:val="00FC5624"/>
    <w:rsid w:val="00FD1373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50"/>
    <o:shapelayout v:ext="edit">
      <o:idmap v:ext="edit" data="1"/>
    </o:shapelayout>
  </w:shapeDefaults>
  <w:decimalSymbol w:val="."/>
  <w:listSeparator w:val=","/>
  <w14:docId w14:val="253D1B33"/>
  <w15:docId w15:val="{5396B5CA-8ADE-456A-B78D-BD3C2A4A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83068"/>
    <w:pPr>
      <w:jc w:val="center"/>
    </w:pPr>
    <w:rPr>
      <w:rFonts w:ascii="Arial" w:hAnsi="Arial"/>
      <w:b/>
      <w:sz w:val="21"/>
    </w:rPr>
  </w:style>
  <w:style w:type="paragraph" w:styleId="BalloonText">
    <w:name w:val="Balloon Text"/>
    <w:basedOn w:val="Normal"/>
    <w:semiHidden/>
    <w:rsid w:val="006963F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EE40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</w:rPr>
  </w:style>
  <w:style w:type="table" w:styleId="TableGrid">
    <w:name w:val="Table Grid"/>
    <w:basedOn w:val="TableNormal"/>
    <w:rsid w:val="00EE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78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786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8792D"/>
    <w:rPr>
      <w:color w:val="0000FF"/>
      <w:u w:val="single"/>
    </w:rPr>
  </w:style>
  <w:style w:type="paragraph" w:styleId="PlainText">
    <w:name w:val="Plain Text"/>
    <w:basedOn w:val="Normal"/>
    <w:rsid w:val="005E33C6"/>
    <w:pPr>
      <w:spacing w:line="160" w:lineRule="exact"/>
    </w:pPr>
    <w:rPr>
      <w:rFonts w:ascii="Courier New" w:hAnsi="Courier New" w:cs="Courier New"/>
      <w:lang w:eastAsia="en-US"/>
    </w:rPr>
  </w:style>
  <w:style w:type="paragraph" w:customStyle="1" w:styleId="Style1">
    <w:name w:val="Style1"/>
    <w:basedOn w:val="Normal"/>
    <w:rsid w:val="005E33C6"/>
    <w:pPr>
      <w:spacing w:line="160" w:lineRule="exact"/>
    </w:pPr>
    <w:rPr>
      <w:rFonts w:ascii="Courier New" w:hAnsi="Courier New"/>
      <w:sz w:val="16"/>
      <w:lang w:eastAsia="en-US"/>
    </w:rPr>
  </w:style>
  <w:style w:type="character" w:styleId="FollowedHyperlink">
    <w:name w:val="FollowedHyperlink"/>
    <w:basedOn w:val="DefaultParagraphFont"/>
    <w:semiHidden/>
    <w:unhideWhenUsed/>
    <w:rsid w:val="007E4DF3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locked/>
    <w:rsid w:val="00440F3D"/>
    <w:rPr>
      <w:rFonts w:ascii="Arial" w:hAnsi="Arial"/>
      <w:b/>
      <w:sz w:val="21"/>
      <w:lang w:val="en-US"/>
    </w:rPr>
  </w:style>
  <w:style w:type="character" w:styleId="CommentReference">
    <w:name w:val="annotation reference"/>
    <w:basedOn w:val="DefaultParagraphFont"/>
    <w:semiHidden/>
    <w:unhideWhenUsed/>
    <w:rsid w:val="00EC77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734"/>
  </w:style>
  <w:style w:type="character" w:customStyle="1" w:styleId="CommentTextChar">
    <w:name w:val="Comment Text Char"/>
    <w:basedOn w:val="DefaultParagraphFont"/>
    <w:link w:val="CommentText"/>
    <w:semiHidden/>
    <w:rsid w:val="00EC773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734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a.org.uk/markets/primary-markets/regulatory-disclosures/national-storage-mechanis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vencp.com/migvct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4A617-F8B0-4F66-8C1C-8B85A886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MURRAY INTERNATIONAL TRUST PLC</vt:lpstr>
    </vt:vector>
  </TitlesOfParts>
  <Company>Aberdeen Asset Management</Company>
  <LinksUpToDate>false</LinksUpToDate>
  <CharactersWithSpaces>2637</CharactersWithSpaces>
  <SharedDoc>false</SharedDoc>
  <HLinks>
    <vt:vector size="12" baseType="variant">
      <vt:variant>
        <vt:i4>4849691</vt:i4>
      </vt:variant>
      <vt:variant>
        <vt:i4>3</vt:i4>
      </vt:variant>
      <vt:variant>
        <vt:i4>0</vt:i4>
      </vt:variant>
      <vt:variant>
        <vt:i4>5</vt:i4>
      </vt:variant>
      <vt:variant>
        <vt:lpwstr>http://www.//hemscott.com/nsm.do</vt:lpwstr>
      </vt:variant>
      <vt:variant>
        <vt:lpwstr/>
      </vt:variant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http://www.mavencp.com/migvct5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MURRAY INTERNATIONAL TRUST PLC</dc:title>
  <dc:creator>Administrator</dc:creator>
  <cp:lastModifiedBy>Lisa Scott</cp:lastModifiedBy>
  <cp:revision>6</cp:revision>
  <cp:lastPrinted>2019-03-21T11:41:00Z</cp:lastPrinted>
  <dcterms:created xsi:type="dcterms:W3CDTF">2022-04-05T10:16:00Z</dcterms:created>
  <dcterms:modified xsi:type="dcterms:W3CDTF">2022-04-06T12:36:00Z</dcterms:modified>
</cp:coreProperties>
</file>