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0797" w14:textId="77777777" w:rsidR="00525C23" w:rsidRDefault="00525C23" w:rsidP="0052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left="-1276"/>
        <w:rPr>
          <w:rFonts w:ascii="Arial" w:hAnsi="Arial" w:cs="Arial"/>
          <w:b/>
          <w:spacing w:val="-2"/>
        </w:rPr>
      </w:pPr>
    </w:p>
    <w:p w14:paraId="16BD9B6C" w14:textId="4DBC4F66" w:rsidR="00BE3845" w:rsidRDefault="00525C23" w:rsidP="0052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left="-1276"/>
        <w:rPr>
          <w:rFonts w:ascii="Arial" w:hAnsi="Arial" w:cs="Arial"/>
          <w:b/>
          <w:spacing w:val="-2"/>
        </w:rPr>
      </w:pPr>
      <w:r w:rsidRPr="00525C23">
        <w:rPr>
          <w:rFonts w:ascii="Arial" w:hAnsi="Arial" w:cs="Arial"/>
          <w:b/>
          <w:spacing w:val="-2"/>
        </w:rPr>
        <w:t>Maven Income and Growth VCT 5 PLC</w:t>
      </w:r>
      <w:r w:rsidR="006963F9" w:rsidRPr="00525C23">
        <w:rPr>
          <w:rFonts w:ascii="Arial" w:hAnsi="Arial" w:cs="Arial"/>
          <w:b/>
          <w:spacing w:val="-2"/>
        </w:rPr>
        <w:t xml:space="preserve"> (the Company)</w:t>
      </w:r>
      <w:r w:rsidRPr="00525C23">
        <w:rPr>
          <w:rFonts w:ascii="Arial" w:hAnsi="Arial" w:cs="Arial"/>
          <w:b/>
          <w:spacing w:val="-2"/>
        </w:rPr>
        <w:t xml:space="preserve"> </w:t>
      </w:r>
    </w:p>
    <w:p w14:paraId="45E104C9" w14:textId="17B50641" w:rsidR="0023075F" w:rsidRPr="00525C23" w:rsidRDefault="00EE4069" w:rsidP="0052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left="-1276"/>
        <w:rPr>
          <w:rFonts w:ascii="Arial" w:hAnsi="Arial" w:cs="Arial"/>
          <w:b/>
          <w:spacing w:val="-2"/>
        </w:rPr>
      </w:pPr>
      <w:r w:rsidRPr="00525C23">
        <w:rPr>
          <w:rFonts w:ascii="Arial" w:hAnsi="Arial" w:cs="Arial"/>
          <w:b/>
          <w:spacing w:val="-2"/>
        </w:rPr>
        <w:t>Result of Annual General Meeting</w:t>
      </w:r>
    </w:p>
    <w:p w14:paraId="648174E9" w14:textId="77777777" w:rsidR="0007608C" w:rsidRDefault="0007608C" w:rsidP="00525C23">
      <w:pPr>
        <w:ind w:left="-1276" w:right="-716"/>
        <w:rPr>
          <w:rFonts w:ascii="Arial" w:hAnsi="Arial" w:cs="Arial"/>
        </w:rPr>
      </w:pPr>
    </w:p>
    <w:p w14:paraId="556F07BA" w14:textId="35A18D37" w:rsidR="00B55E4B" w:rsidRPr="00525C23" w:rsidRDefault="00B55E4B" w:rsidP="00525C23">
      <w:pPr>
        <w:ind w:left="-1276" w:right="-716"/>
        <w:rPr>
          <w:rFonts w:ascii="Arial" w:hAnsi="Arial" w:cs="Arial"/>
        </w:rPr>
      </w:pPr>
      <w:r w:rsidRPr="00525C23">
        <w:rPr>
          <w:rFonts w:ascii="Arial" w:hAnsi="Arial" w:cs="Arial"/>
        </w:rPr>
        <w:t xml:space="preserve">At the </w:t>
      </w:r>
      <w:r w:rsidR="007E4DF3">
        <w:rPr>
          <w:rFonts w:ascii="Arial" w:hAnsi="Arial" w:cs="Arial"/>
        </w:rPr>
        <w:t>20</w:t>
      </w:r>
      <w:r w:rsidR="0004341B">
        <w:rPr>
          <w:rFonts w:ascii="Arial" w:hAnsi="Arial" w:cs="Arial"/>
        </w:rPr>
        <w:t>2</w:t>
      </w:r>
      <w:r w:rsidR="00817C08">
        <w:rPr>
          <w:rFonts w:ascii="Arial" w:hAnsi="Arial" w:cs="Arial"/>
        </w:rPr>
        <w:t>2</w:t>
      </w:r>
      <w:r w:rsidR="007E4DF3">
        <w:rPr>
          <w:rFonts w:ascii="Arial" w:hAnsi="Arial" w:cs="Arial"/>
        </w:rPr>
        <w:t xml:space="preserve"> </w:t>
      </w:r>
      <w:r w:rsidRPr="00525C23">
        <w:rPr>
          <w:rFonts w:ascii="Arial" w:hAnsi="Arial" w:cs="Arial"/>
        </w:rPr>
        <w:t xml:space="preserve">Annual General Meeting of the Company held </w:t>
      </w:r>
      <w:r w:rsidR="0023075F" w:rsidRPr="00525C23">
        <w:rPr>
          <w:rFonts w:ascii="Arial" w:hAnsi="Arial" w:cs="Arial"/>
        </w:rPr>
        <w:t xml:space="preserve">at </w:t>
      </w:r>
      <w:r w:rsidR="003A3CFE">
        <w:rPr>
          <w:rFonts w:ascii="Arial" w:hAnsi="Arial" w:cs="Arial"/>
        </w:rPr>
        <w:t xml:space="preserve">the offices of Maven Capital Partners UK LLP, </w:t>
      </w:r>
      <w:r w:rsidR="00E54C66">
        <w:rPr>
          <w:rFonts w:ascii="Arial" w:hAnsi="Arial" w:cs="Arial"/>
        </w:rPr>
        <w:t xml:space="preserve">1-2 Royal Exchange Buildings, London EC3V 3LF </w:t>
      </w:r>
      <w:r w:rsidR="0023075F" w:rsidRPr="00525C23">
        <w:rPr>
          <w:rFonts w:ascii="Arial" w:hAnsi="Arial" w:cs="Arial"/>
        </w:rPr>
        <w:t xml:space="preserve">on </w:t>
      </w:r>
      <w:r w:rsidR="00425FC6">
        <w:rPr>
          <w:rFonts w:ascii="Arial" w:hAnsi="Arial" w:cs="Arial"/>
        </w:rPr>
        <w:t>Tuesday</w:t>
      </w:r>
      <w:r w:rsidR="008B472F">
        <w:rPr>
          <w:rFonts w:ascii="Arial" w:hAnsi="Arial" w:cs="Arial"/>
        </w:rPr>
        <w:t>,</w:t>
      </w:r>
      <w:r w:rsidR="00425FC6">
        <w:rPr>
          <w:rFonts w:ascii="Arial" w:hAnsi="Arial" w:cs="Arial"/>
        </w:rPr>
        <w:t xml:space="preserve"> </w:t>
      </w:r>
      <w:r w:rsidR="0004341B">
        <w:rPr>
          <w:rFonts w:ascii="Arial" w:hAnsi="Arial" w:cs="Arial"/>
        </w:rPr>
        <w:t>2</w:t>
      </w:r>
      <w:r w:rsidR="00817C08">
        <w:rPr>
          <w:rFonts w:ascii="Arial" w:hAnsi="Arial" w:cs="Arial"/>
        </w:rPr>
        <w:t>6</w:t>
      </w:r>
      <w:r w:rsidR="0023075F" w:rsidRPr="00525C23">
        <w:rPr>
          <w:rFonts w:ascii="Arial" w:hAnsi="Arial" w:cs="Arial"/>
        </w:rPr>
        <w:t xml:space="preserve"> </w:t>
      </w:r>
      <w:r w:rsidR="00525C23" w:rsidRPr="00525C23">
        <w:rPr>
          <w:rFonts w:ascii="Arial" w:hAnsi="Arial" w:cs="Arial"/>
        </w:rPr>
        <w:t>April</w:t>
      </w:r>
      <w:r w:rsidR="0023075F" w:rsidRPr="00525C23">
        <w:rPr>
          <w:rFonts w:ascii="Arial" w:hAnsi="Arial" w:cs="Arial"/>
        </w:rPr>
        <w:t xml:space="preserve"> 20</w:t>
      </w:r>
      <w:r w:rsidR="0004341B">
        <w:rPr>
          <w:rFonts w:ascii="Arial" w:hAnsi="Arial" w:cs="Arial"/>
        </w:rPr>
        <w:t>2</w:t>
      </w:r>
      <w:r w:rsidR="00817C08">
        <w:rPr>
          <w:rFonts w:ascii="Arial" w:hAnsi="Arial" w:cs="Arial"/>
        </w:rPr>
        <w:t>2</w:t>
      </w:r>
      <w:r w:rsidR="00425FC6">
        <w:rPr>
          <w:rFonts w:ascii="Arial" w:hAnsi="Arial" w:cs="Arial"/>
        </w:rPr>
        <w:t xml:space="preserve"> at </w:t>
      </w:r>
      <w:r w:rsidR="003A7E51">
        <w:rPr>
          <w:rFonts w:ascii="Arial" w:hAnsi="Arial" w:cs="Arial"/>
        </w:rPr>
        <w:t>11.3</w:t>
      </w:r>
      <w:r w:rsidR="00A837F1">
        <w:rPr>
          <w:rFonts w:ascii="Arial" w:hAnsi="Arial" w:cs="Arial"/>
        </w:rPr>
        <w:t>0</w:t>
      </w:r>
      <w:r w:rsidR="0051297D">
        <w:rPr>
          <w:rFonts w:ascii="Arial" w:hAnsi="Arial" w:cs="Arial"/>
        </w:rPr>
        <w:t>am</w:t>
      </w:r>
      <w:r w:rsidRPr="00525C23">
        <w:rPr>
          <w:rFonts w:ascii="Arial" w:hAnsi="Arial" w:cs="Arial"/>
        </w:rPr>
        <w:t>, all</w:t>
      </w:r>
      <w:r w:rsidR="0023075F" w:rsidRPr="00525C23">
        <w:rPr>
          <w:rFonts w:ascii="Arial" w:hAnsi="Arial" w:cs="Arial"/>
        </w:rPr>
        <w:t xml:space="preserve"> of the</w:t>
      </w:r>
      <w:r w:rsidRPr="00525C23">
        <w:rPr>
          <w:rFonts w:ascii="Arial" w:hAnsi="Arial" w:cs="Arial"/>
        </w:rPr>
        <w:t xml:space="preserve"> </w:t>
      </w:r>
      <w:r w:rsidR="004974AE" w:rsidRPr="00525C23">
        <w:rPr>
          <w:rFonts w:ascii="Arial" w:hAnsi="Arial" w:cs="Arial"/>
        </w:rPr>
        <w:t>R</w:t>
      </w:r>
      <w:r w:rsidRPr="00525C23">
        <w:rPr>
          <w:rFonts w:ascii="Arial" w:hAnsi="Arial" w:cs="Arial"/>
        </w:rPr>
        <w:t xml:space="preserve">esolutions </w:t>
      </w:r>
      <w:r w:rsidR="004974AE" w:rsidRPr="00525C23">
        <w:rPr>
          <w:rFonts w:ascii="Arial" w:hAnsi="Arial" w:cs="Arial"/>
        </w:rPr>
        <w:t xml:space="preserve">put to the </w:t>
      </w:r>
      <w:r w:rsidR="00BC7868" w:rsidRPr="00525C23">
        <w:rPr>
          <w:rFonts w:ascii="Arial" w:hAnsi="Arial" w:cs="Arial"/>
        </w:rPr>
        <w:t>M</w:t>
      </w:r>
      <w:r w:rsidR="004974AE" w:rsidRPr="00525C23">
        <w:rPr>
          <w:rFonts w:ascii="Arial" w:hAnsi="Arial" w:cs="Arial"/>
        </w:rPr>
        <w:t xml:space="preserve">eeting </w:t>
      </w:r>
      <w:r w:rsidRPr="00525C23">
        <w:rPr>
          <w:rFonts w:ascii="Arial" w:hAnsi="Arial" w:cs="Arial"/>
        </w:rPr>
        <w:t>were duly passed.</w:t>
      </w:r>
    </w:p>
    <w:p w14:paraId="1F8858CB" w14:textId="77777777" w:rsidR="00EE4069" w:rsidRPr="0061645C" w:rsidRDefault="00EE4069" w:rsidP="00525C23">
      <w:pPr>
        <w:ind w:left="-1276" w:right="-716"/>
        <w:rPr>
          <w:rFonts w:ascii="Arial" w:hAnsi="Arial" w:cs="Arial"/>
        </w:rPr>
      </w:pPr>
    </w:p>
    <w:p w14:paraId="4CC31EA4" w14:textId="5ACFB21F" w:rsidR="00EE4069" w:rsidRPr="00525C23" w:rsidRDefault="00B93A9B" w:rsidP="00A73232">
      <w:pPr>
        <w:ind w:left="-1276" w:right="-716"/>
        <w:rPr>
          <w:rFonts w:ascii="Arial" w:hAnsi="Arial" w:cs="Arial"/>
        </w:rPr>
      </w:pPr>
      <w:r w:rsidRPr="004424DE">
        <w:rPr>
          <w:rFonts w:ascii="Arial" w:hAnsi="Arial" w:cs="Arial"/>
        </w:rPr>
        <w:t xml:space="preserve">At the record date for </w:t>
      </w:r>
      <w:r w:rsidRPr="00A6796A">
        <w:rPr>
          <w:rFonts w:ascii="Arial" w:hAnsi="Arial" w:cs="Arial"/>
        </w:rPr>
        <w:t xml:space="preserve">the Annual General Meeting, being </w:t>
      </w:r>
      <w:r w:rsidR="0034494C" w:rsidRPr="00A6796A">
        <w:rPr>
          <w:rFonts w:ascii="Arial" w:hAnsi="Arial" w:cs="Arial"/>
        </w:rPr>
        <w:t>2</w:t>
      </w:r>
      <w:r w:rsidR="00817C08" w:rsidRPr="00A6796A">
        <w:rPr>
          <w:rFonts w:ascii="Arial" w:hAnsi="Arial" w:cs="Arial"/>
        </w:rPr>
        <w:t>2</w:t>
      </w:r>
      <w:r w:rsidR="00525C23" w:rsidRPr="00A6796A">
        <w:rPr>
          <w:rFonts w:ascii="Arial" w:hAnsi="Arial" w:cs="Arial"/>
        </w:rPr>
        <w:t xml:space="preserve"> April</w:t>
      </w:r>
      <w:r w:rsidRPr="00A6796A">
        <w:rPr>
          <w:rFonts w:ascii="Arial" w:hAnsi="Arial" w:cs="Arial"/>
        </w:rPr>
        <w:t xml:space="preserve"> 20</w:t>
      </w:r>
      <w:r w:rsidR="002F48F7" w:rsidRPr="00A6796A">
        <w:rPr>
          <w:rFonts w:ascii="Arial" w:hAnsi="Arial" w:cs="Arial"/>
        </w:rPr>
        <w:t>2</w:t>
      </w:r>
      <w:r w:rsidR="00817C08" w:rsidRPr="00A6796A">
        <w:rPr>
          <w:rFonts w:ascii="Arial" w:hAnsi="Arial" w:cs="Arial"/>
        </w:rPr>
        <w:t>2</w:t>
      </w:r>
      <w:r w:rsidRPr="00A6796A">
        <w:rPr>
          <w:rFonts w:ascii="Arial" w:hAnsi="Arial" w:cs="Arial"/>
        </w:rPr>
        <w:t xml:space="preserve">, the total number of voting rights in the Company stood at </w:t>
      </w:r>
      <w:r w:rsidR="003A3CFE" w:rsidRPr="00A6796A">
        <w:rPr>
          <w:rFonts w:ascii="Arial" w:hAnsi="Arial" w:cs="Arial"/>
        </w:rPr>
        <w:t>1</w:t>
      </w:r>
      <w:r w:rsidR="00462BF8" w:rsidRPr="00A6796A">
        <w:rPr>
          <w:rFonts w:ascii="Arial" w:hAnsi="Arial" w:cs="Arial"/>
        </w:rPr>
        <w:t>75,</w:t>
      </w:r>
      <w:r w:rsidR="00057ECC">
        <w:rPr>
          <w:rFonts w:ascii="Arial" w:hAnsi="Arial" w:cs="Arial"/>
        </w:rPr>
        <w:t>506,515</w:t>
      </w:r>
      <w:r w:rsidRPr="00A6796A">
        <w:rPr>
          <w:rFonts w:ascii="Arial" w:hAnsi="Arial" w:cs="Arial"/>
        </w:rPr>
        <w:t xml:space="preserve">. </w:t>
      </w:r>
      <w:r w:rsidR="00ED62C0">
        <w:rPr>
          <w:rFonts w:ascii="Arial" w:hAnsi="Arial" w:cs="Arial"/>
        </w:rPr>
        <w:t>T</w:t>
      </w:r>
      <w:r w:rsidRPr="0061645C">
        <w:rPr>
          <w:rFonts w:ascii="Arial" w:hAnsi="Arial" w:cs="Arial"/>
        </w:rPr>
        <w:t xml:space="preserve">he Company advises that for the Annual General Meeting, valid proxy appointments were made in respect of </w:t>
      </w:r>
      <w:r w:rsidR="00057ECC" w:rsidRPr="00057ECC">
        <w:rPr>
          <w:rFonts w:ascii="Arial" w:hAnsi="Arial" w:cs="Arial"/>
        </w:rPr>
        <w:t>11,110,787</w:t>
      </w:r>
      <w:r w:rsidR="00B15B12" w:rsidRPr="00057ECC">
        <w:rPr>
          <w:rFonts w:ascii="Arial" w:hAnsi="Arial" w:cs="Arial"/>
        </w:rPr>
        <w:t xml:space="preserve"> </w:t>
      </w:r>
      <w:r w:rsidRPr="0061645C">
        <w:rPr>
          <w:rFonts w:ascii="Arial" w:hAnsi="Arial" w:cs="Arial"/>
        </w:rPr>
        <w:t xml:space="preserve">shares </w:t>
      </w:r>
      <w:r w:rsidRPr="00525C23">
        <w:rPr>
          <w:rFonts w:ascii="Arial" w:hAnsi="Arial" w:cs="Arial"/>
        </w:rPr>
        <w:t xml:space="preserve">and that the </w:t>
      </w:r>
      <w:r w:rsidR="00EE4069" w:rsidRPr="00525C23">
        <w:rPr>
          <w:rFonts w:ascii="Arial" w:hAnsi="Arial" w:cs="Arial"/>
        </w:rPr>
        <w:t xml:space="preserve">number of proxy votes lodged </w:t>
      </w:r>
      <w:r w:rsidR="00D73F53" w:rsidRPr="00525C23">
        <w:rPr>
          <w:rFonts w:ascii="Arial" w:hAnsi="Arial" w:cs="Arial"/>
        </w:rPr>
        <w:t xml:space="preserve">for each Resolution </w:t>
      </w:r>
      <w:r w:rsidR="00EE4069" w:rsidRPr="00525C23">
        <w:rPr>
          <w:rFonts w:ascii="Arial" w:hAnsi="Arial" w:cs="Arial"/>
        </w:rPr>
        <w:t>w</w:t>
      </w:r>
      <w:r w:rsidR="00D73F53" w:rsidRPr="00525C23">
        <w:rPr>
          <w:rFonts w:ascii="Arial" w:hAnsi="Arial" w:cs="Arial"/>
        </w:rPr>
        <w:t>ere</w:t>
      </w:r>
      <w:r w:rsidR="00EE4069" w:rsidRPr="00525C23">
        <w:rPr>
          <w:rFonts w:ascii="Arial" w:hAnsi="Arial" w:cs="Arial"/>
        </w:rPr>
        <w:t xml:space="preserve"> as follows:</w:t>
      </w:r>
    </w:p>
    <w:p w14:paraId="747B4A93" w14:textId="77777777" w:rsidR="00EE4069" w:rsidRPr="00A74717" w:rsidRDefault="00EE4069" w:rsidP="00EE4069">
      <w:pPr>
        <w:pStyle w:val="Noparagraphstyle"/>
        <w:suppressAutoHyphens/>
        <w:rPr>
          <w:rFonts w:ascii="Arial" w:hAnsi="Arial" w:cs="Arial"/>
          <w:sz w:val="20"/>
        </w:rPr>
      </w:pPr>
    </w:p>
    <w:tbl>
      <w:tblPr>
        <w:tblStyle w:val="TableGrid"/>
        <w:tblW w:w="1058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17"/>
        <w:gridCol w:w="1283"/>
        <w:gridCol w:w="1135"/>
        <w:gridCol w:w="1134"/>
        <w:gridCol w:w="1275"/>
      </w:tblGrid>
      <w:tr w:rsidR="00EE4069" w:rsidRPr="00A74717" w14:paraId="785D9692" w14:textId="77777777" w:rsidTr="00994280">
        <w:tc>
          <w:tcPr>
            <w:tcW w:w="567" w:type="dxa"/>
            <w:shd w:val="clear" w:color="auto" w:fill="auto"/>
          </w:tcPr>
          <w:p w14:paraId="38E8D0CE" w14:textId="77777777" w:rsidR="00EE4069" w:rsidRPr="00525C23" w:rsidRDefault="00EE4069" w:rsidP="00EE4069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569F3BC9" w14:textId="77777777" w:rsidR="00EE4069" w:rsidRPr="00525C23" w:rsidRDefault="00EE4069" w:rsidP="00EE4069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Resolutions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14:paraId="35C57CC4" w14:textId="77777777" w:rsidR="00EE4069" w:rsidRPr="005379CE" w:rsidRDefault="00EE4069" w:rsidP="005379CE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379CE">
              <w:rPr>
                <w:rFonts w:ascii="Arial" w:hAnsi="Arial" w:cs="Arial"/>
                <w:b/>
                <w:sz w:val="20"/>
              </w:rPr>
              <w:t>For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74503082" w14:textId="77777777" w:rsidR="00EE4069" w:rsidRPr="005379CE" w:rsidRDefault="00EE4069" w:rsidP="005379CE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379CE">
              <w:rPr>
                <w:rFonts w:ascii="Arial" w:hAnsi="Arial" w:cs="Arial"/>
                <w:b/>
                <w:sz w:val="20"/>
              </w:rPr>
              <w:t>Discretion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361EC1A" w14:textId="77777777" w:rsidR="00EE4069" w:rsidRPr="005379CE" w:rsidRDefault="00EE4069" w:rsidP="005379CE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379CE">
              <w:rPr>
                <w:rFonts w:ascii="Arial" w:hAnsi="Arial" w:cs="Arial"/>
                <w:b/>
                <w:sz w:val="20"/>
              </w:rPr>
              <w:t>Against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AB8B79" w14:textId="77777777" w:rsidR="00EE4069" w:rsidRPr="005379CE" w:rsidRDefault="00EE4069" w:rsidP="005379CE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379CE">
              <w:rPr>
                <w:rFonts w:ascii="Arial" w:hAnsi="Arial" w:cs="Arial"/>
                <w:b/>
                <w:sz w:val="20"/>
              </w:rPr>
              <w:t>Withheld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6125542" w14:textId="77777777" w:rsidR="00EE4069" w:rsidRPr="005379CE" w:rsidRDefault="00EE4069" w:rsidP="005379CE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379CE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0E057F" w:rsidRPr="00A74717" w14:paraId="2CAD1FFA" w14:textId="77777777" w:rsidTr="005379CE">
        <w:tc>
          <w:tcPr>
            <w:tcW w:w="567" w:type="dxa"/>
          </w:tcPr>
          <w:p w14:paraId="396657D3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0" w:type="dxa"/>
          </w:tcPr>
          <w:p w14:paraId="26440C00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 xml:space="preserve">To receive the </w:t>
            </w:r>
            <w:r>
              <w:rPr>
                <w:rFonts w:ascii="Arial" w:hAnsi="Arial" w:cs="Arial"/>
                <w:sz w:val="20"/>
              </w:rPr>
              <w:t xml:space="preserve">Annual </w:t>
            </w:r>
            <w:r w:rsidRPr="00A74717">
              <w:rPr>
                <w:rFonts w:ascii="Arial" w:hAnsi="Arial" w:cs="Arial"/>
                <w:sz w:val="20"/>
              </w:rPr>
              <w:t>Report and audited Financial Statements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2761" w14:textId="24B14B49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311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83BE" w14:textId="2E0C5DB1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776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8C8" w14:textId="3754868A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C9AB" w14:textId="614701E4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6616" w14:textId="64CFDBD3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49380C53" w14:textId="77777777" w:rsidTr="005379CE">
        <w:tc>
          <w:tcPr>
            <w:tcW w:w="567" w:type="dxa"/>
          </w:tcPr>
          <w:p w14:paraId="08B08653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0" w:type="dxa"/>
          </w:tcPr>
          <w:p w14:paraId="771DE315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 xml:space="preserve">To approve the Directors’ Remuneration Report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A107" w14:textId="20D57C8C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245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61E2" w14:textId="2B730C85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807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FADC" w14:textId="173EF20A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745</w:t>
            </w:r>
            <w:r w:rsidR="00861874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A901" w14:textId="7C20731F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312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875" w14:textId="155DD9EC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0D527FF1" w14:textId="77777777" w:rsidTr="005379CE">
        <w:tc>
          <w:tcPr>
            <w:tcW w:w="567" w:type="dxa"/>
          </w:tcPr>
          <w:p w14:paraId="643AB8BF" w14:textId="5238A068" w:rsidR="000E057F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0" w:type="dxa"/>
          </w:tcPr>
          <w:p w14:paraId="3BCE7664" w14:textId="3117F4F8" w:rsidR="000E057F" w:rsidRPr="00240539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approve a final dividend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AF98" w14:textId="32E4AFC3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313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4F30" w14:textId="77B40D26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770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8661" w14:textId="42E70D48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1BF2" w14:textId="03ED70AA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D6A6" w14:textId="1645C829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3D28E53F" w14:textId="77777777" w:rsidTr="005379CE">
        <w:tc>
          <w:tcPr>
            <w:tcW w:w="567" w:type="dxa"/>
          </w:tcPr>
          <w:p w14:paraId="063DB49B" w14:textId="6ADBC92C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0" w:type="dxa"/>
          </w:tcPr>
          <w:p w14:paraId="084659BB" w14:textId="38690405" w:rsidR="000E057F" w:rsidRPr="00240539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240539">
              <w:rPr>
                <w:rFonts w:ascii="Arial" w:hAnsi="Arial" w:cs="Arial"/>
                <w:sz w:val="20"/>
              </w:rPr>
              <w:t xml:space="preserve">To re-elect Mr </w:t>
            </w:r>
            <w:r>
              <w:rPr>
                <w:rFonts w:ascii="Arial" w:hAnsi="Arial" w:cs="Arial"/>
                <w:sz w:val="20"/>
              </w:rPr>
              <w:t xml:space="preserve">G Miller </w:t>
            </w:r>
            <w:r w:rsidRPr="00240539">
              <w:rPr>
                <w:rFonts w:ascii="Arial" w:hAnsi="Arial" w:cs="Arial"/>
                <w:sz w:val="20"/>
              </w:rPr>
              <w:t>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0FFC" w14:textId="10A5BAE0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0119" w14:textId="51696BE8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985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1205" w14:textId="34F55953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88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1FE8" w14:textId="4707DBBC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C2B" w14:textId="78DF9260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00E69A67" w14:textId="77777777" w:rsidTr="005379CE">
        <w:tc>
          <w:tcPr>
            <w:tcW w:w="567" w:type="dxa"/>
          </w:tcPr>
          <w:p w14:paraId="64EF83BE" w14:textId="276957CE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0" w:type="dxa"/>
          </w:tcPr>
          <w:p w14:paraId="539DF267" w14:textId="708B6564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D126CB">
              <w:rPr>
                <w:rFonts w:ascii="Arial" w:hAnsi="Arial" w:cs="Arial"/>
                <w:sz w:val="20"/>
              </w:rPr>
              <w:t>To re-</w:t>
            </w:r>
            <w:r w:rsidRPr="00D936C3">
              <w:rPr>
                <w:rFonts w:ascii="Arial" w:hAnsi="Arial" w:cs="Arial"/>
                <w:sz w:val="20"/>
              </w:rPr>
              <w:t xml:space="preserve">elect Mr </w:t>
            </w:r>
            <w:r>
              <w:rPr>
                <w:rFonts w:ascii="Arial" w:hAnsi="Arial" w:cs="Arial"/>
                <w:sz w:val="20"/>
              </w:rPr>
              <w:t>G Humphries</w:t>
            </w:r>
            <w:r w:rsidRPr="00D936C3">
              <w:rPr>
                <w:rFonts w:ascii="Arial" w:hAnsi="Arial" w:cs="Arial"/>
                <w:sz w:val="20"/>
              </w:rPr>
              <w:t xml:space="preserve"> as</w:t>
            </w:r>
            <w:r w:rsidRPr="00D126CB">
              <w:rPr>
                <w:rFonts w:ascii="Arial" w:hAnsi="Arial" w:cs="Arial"/>
                <w:sz w:val="20"/>
              </w:rPr>
              <w:t xml:space="preserve">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4636" w14:textId="09DBCE03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747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091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7BED" w14:textId="545D7BEC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775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2C1B" w14:textId="43709AA5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443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EF23" w14:textId="13859B0F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D7C5" w14:textId="686A510C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F7478A" w14:paraId="48C5666A" w14:textId="77777777" w:rsidTr="005379CE">
        <w:trPr>
          <w:trHeight w:val="341"/>
        </w:trPr>
        <w:tc>
          <w:tcPr>
            <w:tcW w:w="567" w:type="dxa"/>
          </w:tcPr>
          <w:p w14:paraId="29BE2262" w14:textId="11EAE35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0" w:type="dxa"/>
          </w:tcPr>
          <w:p w14:paraId="7E39CF95" w14:textId="12F7D650" w:rsidR="000E057F" w:rsidRPr="00F7478A" w:rsidRDefault="000E057F" w:rsidP="000E057F">
            <w:pPr>
              <w:rPr>
                <w:rFonts w:ascii="Arial" w:hAnsi="Arial" w:cs="Arial"/>
                <w:color w:val="000000"/>
                <w:lang w:val="en-GB"/>
              </w:rPr>
            </w:pPr>
            <w:r w:rsidRPr="00A74717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re-</w:t>
            </w:r>
            <w:r w:rsidRPr="00A74717">
              <w:rPr>
                <w:rFonts w:ascii="Arial" w:hAnsi="Arial" w:cs="Arial"/>
              </w:rPr>
              <w:t xml:space="preserve">elect </w:t>
            </w:r>
            <w:r>
              <w:rPr>
                <w:rFonts w:ascii="Arial" w:hAnsi="Arial" w:cs="Arial"/>
              </w:rPr>
              <w:t xml:space="preserve">Mr C Young </w:t>
            </w:r>
            <w:r w:rsidRPr="00A74717">
              <w:rPr>
                <w:rFonts w:ascii="Arial" w:hAnsi="Arial" w:cs="Arial"/>
              </w:rPr>
              <w:t>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8580" w14:textId="18915FDA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834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2CD4" w14:textId="2167E201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775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D18" w14:textId="51E98F72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375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A21" w14:textId="079A472C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125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D9EE" w14:textId="0978C1D8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43E5B7BE" w14:textId="77777777" w:rsidTr="005379CE">
        <w:trPr>
          <w:trHeight w:val="327"/>
        </w:trPr>
        <w:tc>
          <w:tcPr>
            <w:tcW w:w="567" w:type="dxa"/>
          </w:tcPr>
          <w:p w14:paraId="57F6BA03" w14:textId="1F69450F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0" w:type="dxa"/>
          </w:tcPr>
          <w:p w14:paraId="676DF596" w14:textId="1D8288C4" w:rsidR="000E057F" w:rsidRPr="0004341B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re-</w:t>
            </w:r>
            <w:r w:rsidRPr="00A74717">
              <w:rPr>
                <w:rFonts w:ascii="Arial" w:hAnsi="Arial" w:cs="Arial"/>
                <w:sz w:val="20"/>
              </w:rPr>
              <w:t xml:space="preserve">appoint </w:t>
            </w:r>
            <w:r>
              <w:rPr>
                <w:rFonts w:ascii="Arial" w:hAnsi="Arial" w:cs="Arial"/>
                <w:sz w:val="20"/>
              </w:rPr>
              <w:t xml:space="preserve">Deloitte LLP as Auditor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6B24" w14:textId="361E46AC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483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E9EA" w14:textId="29560EF7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912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677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ABCD" w14:textId="0830EAA6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670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84BC" w14:textId="44A929B7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C8AF" w14:textId="3E8E40AB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5251B666" w14:textId="77777777" w:rsidTr="005379CE">
        <w:trPr>
          <w:trHeight w:val="547"/>
        </w:trPr>
        <w:tc>
          <w:tcPr>
            <w:tcW w:w="567" w:type="dxa"/>
          </w:tcPr>
          <w:p w14:paraId="5EC6C984" w14:textId="07194AA2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0" w:type="dxa"/>
          </w:tcPr>
          <w:p w14:paraId="0B2DB076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 xml:space="preserve">To authorise the Directors to </w:t>
            </w:r>
            <w:r>
              <w:rPr>
                <w:rFonts w:ascii="Arial" w:hAnsi="Arial" w:cs="Arial"/>
                <w:sz w:val="20"/>
              </w:rPr>
              <w:t>fix</w:t>
            </w:r>
            <w:r w:rsidRPr="00A74717">
              <w:rPr>
                <w:rFonts w:ascii="Arial" w:hAnsi="Arial" w:cs="Arial"/>
                <w:sz w:val="20"/>
              </w:rPr>
              <w:t xml:space="preserve"> the remuneration</w:t>
            </w:r>
            <w:r>
              <w:rPr>
                <w:rFonts w:ascii="Arial" w:hAnsi="Arial" w:cs="Arial"/>
                <w:sz w:val="20"/>
              </w:rPr>
              <w:t xml:space="preserve"> of the Auditor</w:t>
            </w:r>
            <w:r w:rsidRPr="00A747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5ABB" w14:textId="45151AAB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027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BD28" w14:textId="6588E1F6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794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7FDF" w14:textId="57A69ACD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259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6DC5" w14:textId="28B23D4E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FDA6" w14:textId="0E320526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3D2F087A" w14:textId="77777777" w:rsidTr="005379CE">
        <w:tc>
          <w:tcPr>
            <w:tcW w:w="567" w:type="dxa"/>
          </w:tcPr>
          <w:p w14:paraId="23CF52E1" w14:textId="6664F799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0" w:type="dxa"/>
          </w:tcPr>
          <w:p w14:paraId="63AB43D3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authorise the Directors</w:t>
            </w:r>
            <w:r w:rsidRPr="00A74717">
              <w:rPr>
                <w:rFonts w:ascii="Arial" w:hAnsi="Arial" w:cs="Arial"/>
                <w:sz w:val="20"/>
              </w:rPr>
              <w:t xml:space="preserve"> to allot </w:t>
            </w:r>
            <w:r>
              <w:rPr>
                <w:rFonts w:ascii="Arial" w:hAnsi="Arial" w:cs="Arial"/>
                <w:sz w:val="20"/>
              </w:rPr>
              <w:t xml:space="preserve">new </w:t>
            </w:r>
            <w:r w:rsidRPr="00A74717">
              <w:rPr>
                <w:rFonts w:ascii="Arial" w:hAnsi="Arial" w:cs="Arial"/>
                <w:sz w:val="20"/>
              </w:rPr>
              <w:t>shares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D76F" w14:textId="67EA76C2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806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825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98BD" w14:textId="4F51781A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824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5536" w14:textId="2D8D82AA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328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E8E" w14:textId="58E69B6C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93D5" w14:textId="7C8F993C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7864A613" w14:textId="77777777" w:rsidTr="005379CE">
        <w:tc>
          <w:tcPr>
            <w:tcW w:w="567" w:type="dxa"/>
          </w:tcPr>
          <w:p w14:paraId="50650FB4" w14:textId="041E232C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0" w:type="dxa"/>
          </w:tcPr>
          <w:p w14:paraId="50184EFF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>To authorise disappl</w:t>
            </w:r>
            <w:r>
              <w:rPr>
                <w:rFonts w:ascii="Arial" w:hAnsi="Arial" w:cs="Arial"/>
                <w:sz w:val="20"/>
              </w:rPr>
              <w:t>ication of</w:t>
            </w:r>
            <w:r w:rsidRPr="00A74717">
              <w:rPr>
                <w:rFonts w:ascii="Arial" w:hAnsi="Arial" w:cs="Arial"/>
                <w:sz w:val="20"/>
              </w:rPr>
              <w:t xml:space="preserve"> pre-emption rights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67F9" w14:textId="70506BE6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688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A569" w14:textId="03796034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839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A7B" w14:textId="28DA8595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481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D00A" w14:textId="03419335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E1AE" w14:textId="61975BF9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27C595B7" w14:textId="77777777" w:rsidTr="005379CE">
        <w:tc>
          <w:tcPr>
            <w:tcW w:w="567" w:type="dxa"/>
          </w:tcPr>
          <w:p w14:paraId="48442D40" w14:textId="64FA2F1A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0" w:type="dxa"/>
          </w:tcPr>
          <w:p w14:paraId="7A88BDF3" w14:textId="77777777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74717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authorise the Company</w:t>
            </w:r>
            <w:r w:rsidRPr="00A74717">
              <w:rPr>
                <w:rFonts w:ascii="Arial" w:hAnsi="Arial" w:cs="Arial"/>
                <w:sz w:val="20"/>
              </w:rPr>
              <w:t xml:space="preserve"> to purchase its own shares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FAFA" w14:textId="6AD61AFB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362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31A4" w14:textId="626C6DCD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817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6547" w14:textId="62436617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764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2A4" w14:textId="05B9018B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165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E338" w14:textId="3472C92D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  <w:tr w:rsidR="000E057F" w:rsidRPr="00A74717" w14:paraId="782F5BE4" w14:textId="77777777" w:rsidTr="005379CE">
        <w:trPr>
          <w:trHeight w:val="356"/>
        </w:trPr>
        <w:tc>
          <w:tcPr>
            <w:tcW w:w="567" w:type="dxa"/>
          </w:tcPr>
          <w:p w14:paraId="620D5410" w14:textId="7B0DA7A9" w:rsidR="000E057F" w:rsidRPr="00A74717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0" w:type="dxa"/>
          </w:tcPr>
          <w:p w14:paraId="345EC7B3" w14:textId="20A05013" w:rsidR="000E057F" w:rsidRPr="00A837F1" w:rsidRDefault="000E057F" w:rsidP="000E057F">
            <w:pPr>
              <w:pStyle w:val="Noparagraphstyle"/>
              <w:suppressAutoHyphens/>
              <w:rPr>
                <w:rFonts w:ascii="Arial" w:hAnsi="Arial" w:cs="Arial"/>
                <w:sz w:val="20"/>
              </w:rPr>
            </w:pPr>
            <w:r w:rsidRPr="00A837F1">
              <w:rPr>
                <w:rFonts w:ascii="Arial" w:hAnsi="Arial" w:cs="Arial"/>
                <w:sz w:val="20"/>
              </w:rPr>
              <w:t xml:space="preserve">To allow a </w:t>
            </w:r>
            <w:r>
              <w:rPr>
                <w:rFonts w:ascii="Arial" w:hAnsi="Arial" w:cs="Arial"/>
                <w:sz w:val="20"/>
              </w:rPr>
              <w:t>g</w:t>
            </w:r>
            <w:r w:rsidRPr="00A837F1">
              <w:rPr>
                <w:rFonts w:ascii="Arial" w:hAnsi="Arial" w:cs="Arial"/>
                <w:sz w:val="20"/>
              </w:rPr>
              <w:t xml:space="preserve">eneral </w:t>
            </w:r>
            <w:r>
              <w:rPr>
                <w:rFonts w:ascii="Arial" w:hAnsi="Arial" w:cs="Arial"/>
                <w:sz w:val="20"/>
              </w:rPr>
              <w:t>m</w:t>
            </w:r>
            <w:r w:rsidRPr="00A837F1">
              <w:rPr>
                <w:rFonts w:ascii="Arial" w:hAnsi="Arial" w:cs="Arial"/>
                <w:sz w:val="20"/>
              </w:rPr>
              <w:t>eeting to be called on not less than 14 days’ notice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E85B" w14:textId="543C72C9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834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CC17" w14:textId="74BD332D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846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70D0" w14:textId="4EB06CB4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303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A8F6" w14:textId="257CE833" w:rsidR="000E057F" w:rsidRPr="00921978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125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D790" w14:textId="3A55EDFE" w:rsidR="000E057F" w:rsidRPr="00410532" w:rsidRDefault="000E057F" w:rsidP="000E057F">
            <w:pPr>
              <w:jc w:val="right"/>
              <w:rPr>
                <w:rFonts w:ascii="Arial" w:hAnsi="Arial" w:cs="Arial"/>
                <w:color w:val="000000"/>
              </w:rPr>
            </w:pPr>
            <w:r w:rsidRPr="000E057F">
              <w:rPr>
                <w:rFonts w:ascii="Arial" w:hAnsi="Arial" w:cs="Arial"/>
                <w:color w:val="000000"/>
              </w:rPr>
              <w:t>11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110</w:t>
            </w:r>
            <w:r w:rsidR="00057ECC">
              <w:rPr>
                <w:rFonts w:ascii="Arial" w:hAnsi="Arial" w:cs="Arial"/>
                <w:color w:val="000000"/>
              </w:rPr>
              <w:t>,</w:t>
            </w:r>
            <w:r w:rsidRPr="000E057F">
              <w:rPr>
                <w:rFonts w:ascii="Arial" w:hAnsi="Arial" w:cs="Arial"/>
                <w:color w:val="000000"/>
              </w:rPr>
              <w:t>787</w:t>
            </w:r>
          </w:p>
        </w:tc>
      </w:tr>
    </w:tbl>
    <w:p w14:paraId="4BE53CF4" w14:textId="77777777" w:rsidR="00A74717" w:rsidRPr="00A74717" w:rsidRDefault="00A74717" w:rsidP="00EE4069">
      <w:pPr>
        <w:ind w:left="-1276" w:right="-716"/>
        <w:rPr>
          <w:rFonts w:ascii="Arial" w:hAnsi="Arial" w:cs="Arial"/>
        </w:rPr>
      </w:pPr>
    </w:p>
    <w:p w14:paraId="346031AF" w14:textId="34AAA0B7" w:rsidR="0007608C" w:rsidRDefault="00EE4069" w:rsidP="0007608C">
      <w:pPr>
        <w:ind w:left="-1276"/>
        <w:rPr>
          <w:rFonts w:ascii="Arial" w:hAnsi="Arial"/>
        </w:rPr>
      </w:pPr>
      <w:r w:rsidRPr="00A74717">
        <w:rPr>
          <w:rFonts w:ascii="Arial" w:hAnsi="Arial" w:cs="Arial"/>
        </w:rPr>
        <w:t>A vot</w:t>
      </w:r>
      <w:r w:rsidR="00B93A9B">
        <w:rPr>
          <w:rFonts w:ascii="Arial" w:hAnsi="Arial" w:cs="Arial"/>
        </w:rPr>
        <w:t>e withheld is not a vote in law and</w:t>
      </w:r>
      <w:r w:rsidRPr="00A74717">
        <w:rPr>
          <w:rFonts w:ascii="Arial" w:hAnsi="Arial" w:cs="Arial"/>
        </w:rPr>
        <w:t xml:space="preserve"> any such votes have not been included in the votes for or against</w:t>
      </w:r>
      <w:r w:rsidR="00410532">
        <w:rPr>
          <w:rFonts w:ascii="Arial" w:hAnsi="Arial" w:cs="Arial"/>
        </w:rPr>
        <w:t xml:space="preserve"> </w:t>
      </w:r>
      <w:r w:rsidRPr="00A74717">
        <w:rPr>
          <w:rFonts w:ascii="Arial" w:hAnsi="Arial" w:cs="Arial"/>
        </w:rPr>
        <w:t>the</w:t>
      </w:r>
      <w:r w:rsidR="00B55E4B" w:rsidRPr="00A74717">
        <w:rPr>
          <w:rFonts w:ascii="Arial" w:hAnsi="Arial" w:cs="Arial"/>
        </w:rPr>
        <w:t xml:space="preserve"> </w:t>
      </w:r>
      <w:r w:rsidRPr="00A74717">
        <w:rPr>
          <w:rFonts w:ascii="Arial" w:hAnsi="Arial" w:cs="Arial"/>
        </w:rPr>
        <w:t>respective Resolutions.</w:t>
      </w:r>
      <w:r w:rsidR="0007608C">
        <w:rPr>
          <w:rFonts w:ascii="Arial" w:hAnsi="Arial" w:cs="Arial"/>
        </w:rPr>
        <w:t xml:space="preserve"> </w:t>
      </w:r>
      <w:r w:rsidR="0007608C" w:rsidRPr="00A00F9E">
        <w:rPr>
          <w:rFonts w:ascii="Arial" w:hAnsi="Arial"/>
        </w:rPr>
        <w:t xml:space="preserve">The voting figures will be </w:t>
      </w:r>
      <w:r w:rsidR="0007608C" w:rsidRPr="001D558D">
        <w:rPr>
          <w:rFonts w:ascii="Arial" w:hAnsi="Arial"/>
        </w:rPr>
        <w:t xml:space="preserve">available to view at: </w:t>
      </w:r>
      <w:hyperlink r:id="rId6" w:history="1">
        <w:r w:rsidR="0007608C" w:rsidRPr="002F4154">
          <w:rPr>
            <w:rStyle w:val="Hyperlink"/>
            <w:rFonts w:ascii="Arial" w:hAnsi="Arial"/>
          </w:rPr>
          <w:t>www.mavencp.com/migvct5</w:t>
        </w:r>
      </w:hyperlink>
      <w:r w:rsidR="0007608C">
        <w:rPr>
          <w:rFonts w:ascii="Arial" w:hAnsi="Arial"/>
        </w:rPr>
        <w:t>.</w:t>
      </w:r>
    </w:p>
    <w:p w14:paraId="695EE6A1" w14:textId="77777777" w:rsidR="00EE4069" w:rsidRPr="00A74717" w:rsidRDefault="00EE4069" w:rsidP="00EE4069">
      <w:pPr>
        <w:rPr>
          <w:rFonts w:ascii="Arial" w:hAnsi="Arial" w:cs="Arial"/>
        </w:rPr>
      </w:pPr>
    </w:p>
    <w:p w14:paraId="6BCB46AC" w14:textId="7893878D" w:rsidR="00EF38AF" w:rsidRDefault="007E4DF3" w:rsidP="00EF38AF">
      <w:pPr>
        <w:ind w:left="-1276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 copy of the </w:t>
      </w:r>
      <w:r w:rsidR="00EE4069" w:rsidRPr="00A74717">
        <w:rPr>
          <w:rFonts w:ascii="Arial" w:hAnsi="Arial" w:cs="Arial"/>
          <w:spacing w:val="-2"/>
        </w:rPr>
        <w:t xml:space="preserve">Resolutions </w:t>
      </w:r>
      <w:r w:rsidR="009149D2">
        <w:rPr>
          <w:rFonts w:ascii="Arial" w:hAnsi="Arial" w:cs="Arial"/>
          <w:spacing w:val="-2"/>
        </w:rPr>
        <w:t xml:space="preserve">passed at the 2022 AGM </w:t>
      </w:r>
      <w:r w:rsidR="008B472F">
        <w:rPr>
          <w:rFonts w:ascii="Arial" w:hAnsi="Arial" w:cs="Arial"/>
          <w:spacing w:val="-2"/>
        </w:rPr>
        <w:t xml:space="preserve">which require to be filed at Companies House </w:t>
      </w:r>
      <w:r w:rsidR="000F07F3" w:rsidRPr="000F07F3">
        <w:rPr>
          <w:rFonts w:ascii="Arial" w:hAnsi="Arial" w:cs="Arial"/>
          <w:spacing w:val="-2"/>
        </w:rPr>
        <w:t>ha</w:t>
      </w:r>
      <w:r w:rsidR="0028792D">
        <w:rPr>
          <w:rFonts w:ascii="Arial" w:hAnsi="Arial" w:cs="Arial"/>
          <w:spacing w:val="-2"/>
        </w:rPr>
        <w:t>ve</w:t>
      </w:r>
      <w:r w:rsidR="000F07F3" w:rsidRPr="000F07F3">
        <w:rPr>
          <w:rFonts w:ascii="Arial" w:hAnsi="Arial" w:cs="Arial"/>
          <w:spacing w:val="-2"/>
        </w:rPr>
        <w:t xml:space="preserve"> </w:t>
      </w:r>
      <w:r w:rsidR="008B472F">
        <w:rPr>
          <w:rFonts w:ascii="Arial" w:hAnsi="Arial" w:cs="Arial"/>
          <w:spacing w:val="-2"/>
        </w:rPr>
        <w:t xml:space="preserve">also </w:t>
      </w:r>
      <w:r w:rsidR="000F07F3" w:rsidRPr="000F07F3">
        <w:rPr>
          <w:rFonts w:ascii="Arial" w:hAnsi="Arial" w:cs="Arial"/>
          <w:spacing w:val="-2"/>
        </w:rPr>
        <w:t>been submitted to the National Storag</w:t>
      </w:r>
      <w:r w:rsidR="0028792D">
        <w:rPr>
          <w:rFonts w:ascii="Arial" w:hAnsi="Arial" w:cs="Arial"/>
          <w:spacing w:val="-2"/>
        </w:rPr>
        <w:t xml:space="preserve">e Mechanism and will shortly be </w:t>
      </w:r>
      <w:r w:rsidR="000F07F3" w:rsidRPr="000F07F3">
        <w:rPr>
          <w:rFonts w:ascii="Arial" w:hAnsi="Arial" w:cs="Arial"/>
          <w:spacing w:val="-2"/>
        </w:rPr>
        <w:t xml:space="preserve">available for inspection at: </w:t>
      </w:r>
    </w:p>
    <w:p w14:paraId="496F7D44" w14:textId="7E4A21E2" w:rsidR="00EF38AF" w:rsidRPr="00EF38AF" w:rsidRDefault="00861874" w:rsidP="00EF38AF">
      <w:pPr>
        <w:ind w:left="-1276"/>
        <w:rPr>
          <w:rStyle w:val="Hyperlink"/>
        </w:rPr>
      </w:pPr>
      <w:hyperlink r:id="rId7" w:history="1">
        <w:r w:rsidR="00EF38AF" w:rsidRPr="00EF38AF">
          <w:rPr>
            <w:rStyle w:val="Hyperlink"/>
            <w:rFonts w:ascii="Arial" w:hAnsi="Arial"/>
          </w:rPr>
          <w:t>https://www.fca.org.uk/markets/primary-markets/regulatory-disclosures/national-storage-mechanism</w:t>
        </w:r>
      </w:hyperlink>
    </w:p>
    <w:p w14:paraId="5EEB5706" w14:textId="77777777" w:rsidR="00583068" w:rsidRPr="00EF38AF" w:rsidRDefault="00583068" w:rsidP="000F07F3">
      <w:pPr>
        <w:ind w:left="-1276"/>
        <w:rPr>
          <w:rStyle w:val="Hyperlink"/>
        </w:rPr>
      </w:pPr>
    </w:p>
    <w:p w14:paraId="05766E81" w14:textId="77777777" w:rsidR="00583068" w:rsidRPr="00A74717" w:rsidRDefault="00583068" w:rsidP="00B55E4B">
      <w:pPr>
        <w:ind w:left="-1276"/>
        <w:rPr>
          <w:rFonts w:ascii="Arial" w:hAnsi="Arial" w:cs="Arial"/>
          <w:spacing w:val="-2"/>
        </w:rPr>
      </w:pPr>
      <w:r w:rsidRPr="00A74717">
        <w:rPr>
          <w:rFonts w:ascii="Arial" w:hAnsi="Arial" w:cs="Arial"/>
          <w:spacing w:val="-2"/>
        </w:rPr>
        <w:t>Issued on behalf of the Board</w:t>
      </w:r>
    </w:p>
    <w:p w14:paraId="2B79FEDD" w14:textId="77777777" w:rsidR="000F07F3" w:rsidRDefault="00BC7868" w:rsidP="00B55E4B">
      <w:pPr>
        <w:ind w:left="-1276"/>
        <w:rPr>
          <w:rFonts w:ascii="Arial" w:hAnsi="Arial" w:cs="Arial"/>
          <w:spacing w:val="-2"/>
        </w:rPr>
      </w:pPr>
      <w:r w:rsidRPr="00A74717">
        <w:rPr>
          <w:rFonts w:ascii="Arial" w:hAnsi="Arial" w:cs="Arial"/>
          <w:spacing w:val="-2"/>
        </w:rPr>
        <w:t xml:space="preserve">Maven Capital Partners </w:t>
      </w:r>
      <w:smartTag w:uri="urn:schemas-microsoft-com:office:smarttags" w:element="place">
        <w:smartTag w:uri="urn:schemas-microsoft-com:office:smarttags" w:element="country-region">
          <w:r w:rsidRPr="00A74717">
            <w:rPr>
              <w:rFonts w:ascii="Arial" w:hAnsi="Arial" w:cs="Arial"/>
              <w:spacing w:val="-2"/>
            </w:rPr>
            <w:t>UK</w:t>
          </w:r>
        </w:smartTag>
      </w:smartTag>
      <w:r w:rsidRPr="00A74717">
        <w:rPr>
          <w:rFonts w:ascii="Arial" w:hAnsi="Arial" w:cs="Arial"/>
          <w:spacing w:val="-2"/>
        </w:rPr>
        <w:t xml:space="preserve"> LLP</w:t>
      </w:r>
      <w:r w:rsidR="00583068" w:rsidRPr="00A74717">
        <w:rPr>
          <w:rFonts w:ascii="Arial" w:hAnsi="Arial" w:cs="Arial"/>
          <w:spacing w:val="-2"/>
        </w:rPr>
        <w:t>, Secretary</w:t>
      </w:r>
    </w:p>
    <w:p w14:paraId="02334060" w14:textId="3186191A" w:rsidR="00583068" w:rsidRPr="00A74717" w:rsidRDefault="0004341B" w:rsidP="00B55E4B">
      <w:pPr>
        <w:ind w:left="-1276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 w:rsidR="00817C08">
        <w:rPr>
          <w:rFonts w:ascii="Arial" w:hAnsi="Arial" w:cs="Arial"/>
          <w:spacing w:val="-2"/>
        </w:rPr>
        <w:t>6</w:t>
      </w:r>
      <w:r w:rsidR="0023075F">
        <w:rPr>
          <w:rFonts w:ascii="Arial" w:hAnsi="Arial" w:cs="Arial"/>
          <w:spacing w:val="-2"/>
        </w:rPr>
        <w:t xml:space="preserve"> </w:t>
      </w:r>
      <w:r w:rsidR="0007608C">
        <w:rPr>
          <w:rFonts w:ascii="Arial" w:hAnsi="Arial" w:cs="Arial"/>
          <w:spacing w:val="-2"/>
        </w:rPr>
        <w:t>April</w:t>
      </w:r>
      <w:r w:rsidR="000A0CF3" w:rsidRPr="00A74717">
        <w:rPr>
          <w:rFonts w:ascii="Arial" w:hAnsi="Arial" w:cs="Arial"/>
          <w:spacing w:val="-2"/>
        </w:rPr>
        <w:t xml:space="preserve"> 20</w:t>
      </w:r>
      <w:r>
        <w:rPr>
          <w:rFonts w:ascii="Arial" w:hAnsi="Arial" w:cs="Arial"/>
          <w:spacing w:val="-2"/>
        </w:rPr>
        <w:t>2</w:t>
      </w:r>
      <w:r w:rsidR="00817C08">
        <w:rPr>
          <w:rFonts w:ascii="Arial" w:hAnsi="Arial" w:cs="Arial"/>
          <w:spacing w:val="-2"/>
        </w:rPr>
        <w:t>2</w:t>
      </w:r>
    </w:p>
    <w:sectPr w:rsidR="00583068" w:rsidRPr="00A74717" w:rsidSect="00527650">
      <w:headerReference w:type="even" r:id="rId8"/>
      <w:headerReference w:type="default" r:id="rId9"/>
      <w:headerReference w:type="first" r:id="rId10"/>
      <w:pgSz w:w="11907" w:h="16839" w:code="9"/>
      <w:pgMar w:top="426" w:right="1800" w:bottom="14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DBAB" w14:textId="77777777" w:rsidR="007F11FB" w:rsidRDefault="007F11FB">
      <w:r>
        <w:separator/>
      </w:r>
    </w:p>
  </w:endnote>
  <w:endnote w:type="continuationSeparator" w:id="0">
    <w:p w14:paraId="5FB98FA7" w14:textId="77777777" w:rsidR="007F11FB" w:rsidRDefault="007F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5F6C" w14:textId="77777777" w:rsidR="007F11FB" w:rsidRDefault="007F11FB">
      <w:r>
        <w:separator/>
      </w:r>
    </w:p>
  </w:footnote>
  <w:footnote w:type="continuationSeparator" w:id="0">
    <w:p w14:paraId="0107EF50" w14:textId="77777777" w:rsidR="007F11FB" w:rsidRDefault="007F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AE83" w14:textId="3D45A2E0" w:rsidR="005E33C6" w:rsidRDefault="005E3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F3EA" w14:textId="33864E5B" w:rsidR="005E33C6" w:rsidRDefault="005E3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978" w14:textId="1CA69242" w:rsidR="005E33C6" w:rsidRDefault="005E3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7EF"/>
    <w:rsid w:val="00013DB4"/>
    <w:rsid w:val="0004341B"/>
    <w:rsid w:val="00045AFA"/>
    <w:rsid w:val="00057ECC"/>
    <w:rsid w:val="00067DE1"/>
    <w:rsid w:val="00072A10"/>
    <w:rsid w:val="0007608C"/>
    <w:rsid w:val="000A0CF3"/>
    <w:rsid w:val="000A5E59"/>
    <w:rsid w:val="000B30F4"/>
    <w:rsid w:val="000B7853"/>
    <w:rsid w:val="000E03DF"/>
    <w:rsid w:val="000E057F"/>
    <w:rsid w:val="000F07F3"/>
    <w:rsid w:val="00144010"/>
    <w:rsid w:val="00192DDE"/>
    <w:rsid w:val="001A06A6"/>
    <w:rsid w:val="001C5073"/>
    <w:rsid w:val="001D558D"/>
    <w:rsid w:val="001E53A7"/>
    <w:rsid w:val="002048DF"/>
    <w:rsid w:val="00206A16"/>
    <w:rsid w:val="00216557"/>
    <w:rsid w:val="00221B3F"/>
    <w:rsid w:val="0023075F"/>
    <w:rsid w:val="00240539"/>
    <w:rsid w:val="00265D7D"/>
    <w:rsid w:val="0028792D"/>
    <w:rsid w:val="00293B72"/>
    <w:rsid w:val="002A02ED"/>
    <w:rsid w:val="002D6DF1"/>
    <w:rsid w:val="002F3754"/>
    <w:rsid w:val="002F48F7"/>
    <w:rsid w:val="00313A47"/>
    <w:rsid w:val="00315126"/>
    <w:rsid w:val="00334FB2"/>
    <w:rsid w:val="0034494C"/>
    <w:rsid w:val="00375AE2"/>
    <w:rsid w:val="0038301D"/>
    <w:rsid w:val="003A3CFE"/>
    <w:rsid w:val="003A7E51"/>
    <w:rsid w:val="003E6271"/>
    <w:rsid w:val="00402707"/>
    <w:rsid w:val="00410532"/>
    <w:rsid w:val="00413450"/>
    <w:rsid w:val="00414B93"/>
    <w:rsid w:val="00425FC6"/>
    <w:rsid w:val="004424DE"/>
    <w:rsid w:val="00443BC6"/>
    <w:rsid w:val="00462BF8"/>
    <w:rsid w:val="0047735D"/>
    <w:rsid w:val="004974AE"/>
    <w:rsid w:val="004A1FC6"/>
    <w:rsid w:val="004B7E57"/>
    <w:rsid w:val="004E0974"/>
    <w:rsid w:val="0051297D"/>
    <w:rsid w:val="00515799"/>
    <w:rsid w:val="00525C23"/>
    <w:rsid w:val="00527650"/>
    <w:rsid w:val="005379CE"/>
    <w:rsid w:val="00563694"/>
    <w:rsid w:val="0057054D"/>
    <w:rsid w:val="005736AB"/>
    <w:rsid w:val="00583068"/>
    <w:rsid w:val="00594127"/>
    <w:rsid w:val="005B0214"/>
    <w:rsid w:val="005B77E0"/>
    <w:rsid w:val="005C0A0E"/>
    <w:rsid w:val="005C1525"/>
    <w:rsid w:val="005E33C6"/>
    <w:rsid w:val="00605E3F"/>
    <w:rsid w:val="0061645C"/>
    <w:rsid w:val="00670577"/>
    <w:rsid w:val="006829E9"/>
    <w:rsid w:val="00682D0A"/>
    <w:rsid w:val="00694EC6"/>
    <w:rsid w:val="00695753"/>
    <w:rsid w:val="006963F9"/>
    <w:rsid w:val="006B4590"/>
    <w:rsid w:val="006C6467"/>
    <w:rsid w:val="006D3CBF"/>
    <w:rsid w:val="006D7046"/>
    <w:rsid w:val="0070523B"/>
    <w:rsid w:val="007238D2"/>
    <w:rsid w:val="00770223"/>
    <w:rsid w:val="00780E30"/>
    <w:rsid w:val="007919F0"/>
    <w:rsid w:val="007A3B8E"/>
    <w:rsid w:val="007B32F3"/>
    <w:rsid w:val="007C4581"/>
    <w:rsid w:val="007E4DF3"/>
    <w:rsid w:val="007F11FB"/>
    <w:rsid w:val="0080272A"/>
    <w:rsid w:val="00810F2A"/>
    <w:rsid w:val="00817C08"/>
    <w:rsid w:val="00861874"/>
    <w:rsid w:val="00873DEC"/>
    <w:rsid w:val="00886CB3"/>
    <w:rsid w:val="00896D91"/>
    <w:rsid w:val="008B472F"/>
    <w:rsid w:val="008C4904"/>
    <w:rsid w:val="008F4683"/>
    <w:rsid w:val="008F4CC8"/>
    <w:rsid w:val="00906564"/>
    <w:rsid w:val="009149D2"/>
    <w:rsid w:val="0091615F"/>
    <w:rsid w:val="00917A59"/>
    <w:rsid w:val="00921978"/>
    <w:rsid w:val="009269B3"/>
    <w:rsid w:val="00934B98"/>
    <w:rsid w:val="00952B2C"/>
    <w:rsid w:val="00956E6D"/>
    <w:rsid w:val="0096747F"/>
    <w:rsid w:val="009747AB"/>
    <w:rsid w:val="009929DB"/>
    <w:rsid w:val="00994280"/>
    <w:rsid w:val="009A2033"/>
    <w:rsid w:val="009B2012"/>
    <w:rsid w:val="009C4EA2"/>
    <w:rsid w:val="009D061A"/>
    <w:rsid w:val="009D1F17"/>
    <w:rsid w:val="009D496B"/>
    <w:rsid w:val="009D4E09"/>
    <w:rsid w:val="009E481E"/>
    <w:rsid w:val="009F6223"/>
    <w:rsid w:val="00A00194"/>
    <w:rsid w:val="00A15F53"/>
    <w:rsid w:val="00A31B79"/>
    <w:rsid w:val="00A47951"/>
    <w:rsid w:val="00A6796A"/>
    <w:rsid w:val="00A73232"/>
    <w:rsid w:val="00A74717"/>
    <w:rsid w:val="00A837F1"/>
    <w:rsid w:val="00AA140E"/>
    <w:rsid w:val="00AC0E0E"/>
    <w:rsid w:val="00AF5458"/>
    <w:rsid w:val="00B15B12"/>
    <w:rsid w:val="00B5598F"/>
    <w:rsid w:val="00B55E4B"/>
    <w:rsid w:val="00B676E0"/>
    <w:rsid w:val="00B93A9B"/>
    <w:rsid w:val="00BB4272"/>
    <w:rsid w:val="00BC2A25"/>
    <w:rsid w:val="00BC7868"/>
    <w:rsid w:val="00BE3845"/>
    <w:rsid w:val="00C62ECA"/>
    <w:rsid w:val="00C647EF"/>
    <w:rsid w:val="00C85A33"/>
    <w:rsid w:val="00C90CB9"/>
    <w:rsid w:val="00CC49DC"/>
    <w:rsid w:val="00CD3CB9"/>
    <w:rsid w:val="00CD4508"/>
    <w:rsid w:val="00D01F4B"/>
    <w:rsid w:val="00D126CB"/>
    <w:rsid w:val="00D46DD7"/>
    <w:rsid w:val="00D53569"/>
    <w:rsid w:val="00D73F53"/>
    <w:rsid w:val="00D936C3"/>
    <w:rsid w:val="00DD6AEC"/>
    <w:rsid w:val="00DE0491"/>
    <w:rsid w:val="00E11C0D"/>
    <w:rsid w:val="00E54C66"/>
    <w:rsid w:val="00E566D1"/>
    <w:rsid w:val="00E60179"/>
    <w:rsid w:val="00E86D9F"/>
    <w:rsid w:val="00E9631D"/>
    <w:rsid w:val="00EA2043"/>
    <w:rsid w:val="00ED555A"/>
    <w:rsid w:val="00ED62C0"/>
    <w:rsid w:val="00EE4069"/>
    <w:rsid w:val="00EE6FF9"/>
    <w:rsid w:val="00EF38AF"/>
    <w:rsid w:val="00F15975"/>
    <w:rsid w:val="00F37FA9"/>
    <w:rsid w:val="00F55039"/>
    <w:rsid w:val="00F7478A"/>
    <w:rsid w:val="00F9496B"/>
    <w:rsid w:val="00FA283A"/>
    <w:rsid w:val="00FB5948"/>
    <w:rsid w:val="00FC5624"/>
    <w:rsid w:val="00FD1373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CC29546"/>
  <w15:docId w15:val="{5396B5CA-8ADE-456A-B78D-BD3C2A4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068"/>
    <w:pPr>
      <w:jc w:val="center"/>
    </w:pPr>
    <w:rPr>
      <w:rFonts w:ascii="Arial" w:hAnsi="Arial"/>
      <w:b/>
      <w:sz w:val="21"/>
    </w:rPr>
  </w:style>
  <w:style w:type="paragraph" w:styleId="BalloonText">
    <w:name w:val="Balloon Text"/>
    <w:basedOn w:val="Normal"/>
    <w:semiHidden/>
    <w:rsid w:val="006963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0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table" w:styleId="TableGrid">
    <w:name w:val="Table Grid"/>
    <w:basedOn w:val="TableNormal"/>
    <w:rsid w:val="00EE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8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786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92D"/>
    <w:rPr>
      <w:color w:val="0000FF"/>
      <w:u w:val="single"/>
    </w:rPr>
  </w:style>
  <w:style w:type="paragraph" w:styleId="PlainText">
    <w:name w:val="Plain Text"/>
    <w:basedOn w:val="Normal"/>
    <w:rsid w:val="005E33C6"/>
    <w:pPr>
      <w:spacing w:line="160" w:lineRule="exact"/>
    </w:pPr>
    <w:rPr>
      <w:rFonts w:ascii="Courier New" w:hAnsi="Courier New" w:cs="Courier New"/>
      <w:lang w:eastAsia="en-US"/>
    </w:rPr>
  </w:style>
  <w:style w:type="paragraph" w:customStyle="1" w:styleId="Style1">
    <w:name w:val="Style1"/>
    <w:basedOn w:val="Normal"/>
    <w:rsid w:val="005E33C6"/>
    <w:pPr>
      <w:spacing w:line="160" w:lineRule="exact"/>
    </w:pPr>
    <w:rPr>
      <w:rFonts w:ascii="Courier New" w:hAnsi="Courier New"/>
      <w:sz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E4D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ca.org.uk/markets/primary-markets/regulatory-disclosures/national-storage-mechanis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vencp.com/migvct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INTERNATIONAL TRUST PLC</vt:lpstr>
    </vt:vector>
  </TitlesOfParts>
  <Company>Aberdeen Asset Management</Company>
  <LinksUpToDate>false</LinksUpToDate>
  <CharactersWithSpaces>2634</CharactersWithSpaces>
  <SharedDoc>false</SharedDoc>
  <HLinks>
    <vt:vector size="12" baseType="variant"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http://www.//hemscott.com/nsm.do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http://www.mavencp.com/migvct5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INTERNATIONAL TRUST PLC</dc:title>
  <dc:creator>Administrator</dc:creator>
  <cp:lastModifiedBy>Mandy Kelly</cp:lastModifiedBy>
  <cp:revision>57</cp:revision>
  <cp:lastPrinted>2007-08-23T10:55:00Z</cp:lastPrinted>
  <dcterms:created xsi:type="dcterms:W3CDTF">2013-04-08T22:56:00Z</dcterms:created>
  <dcterms:modified xsi:type="dcterms:W3CDTF">2022-04-25T09:49:00Z</dcterms:modified>
</cp:coreProperties>
</file>